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4th November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I’ve been working on doing ICA in the frequency domain. I managed to follow a paper to get where I wanted, but it leaves a little to be desired. There could be so many areas where something could be dodgy, so I’ll make my own file and then try and extract out of it and see what happens, to try and diagnose if there is a problem in the code, or whether it just performs terribly!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r>
    </w:p>
    <w:p w:rsidR="00000000" w:rsidDel="00000000" w:rsidP="00000000" w:rsidRDefault="00000000" w:rsidRPr="00000000" w14:paraId="00000005">
      <w:pPr>
        <w:contextualSpacing w:val="0"/>
        <w:rPr/>
      </w:pPr>
      <w:r w:rsidDel="00000000" w:rsidR="00000000" w:rsidRPr="00000000">
        <w:rPr>
          <w:rtl w:val="0"/>
        </w:rPr>
        <w:t xml:space="preserve">When looking at the spectrograms, I notice that the frequency goes really high, what I’d rather have is a smaller range, and a higher fidelity within that range. I might have to see what happens when I apply to PCA on it, and then reapply the spectrogram, to see if it does what I think. It's worth considering the fundamental frequencies of guitar when looking at this (e.g. middle C about 330Hz I think).</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