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29F9C" w14:textId="69484083" w:rsidR="000B306C" w:rsidRPr="000B306C" w:rsidRDefault="000B306C" w:rsidP="000B306C">
      <w:pPr>
        <w:pStyle w:val="a3"/>
        <w:numPr>
          <w:ilvl w:val="0"/>
          <w:numId w:val="4"/>
        </w:numPr>
        <w:ind w:leftChars="0"/>
        <w:rPr>
          <w:rFonts w:ascii="Roboto" w:eastAsia="新細明體" w:hAnsi="Roboto" w:cs="新細明體"/>
          <w:b/>
          <w:bCs/>
          <w:color w:val="1D2125"/>
          <w:kern w:val="0"/>
          <w:sz w:val="28"/>
          <w:szCs w:val="28"/>
        </w:rPr>
      </w:pPr>
      <w:r w:rsidRPr="000B306C">
        <w:rPr>
          <w:rFonts w:ascii="Roboto" w:eastAsia="新細明體" w:hAnsi="Roboto" w:cs="新細明體"/>
          <w:b/>
          <w:bCs/>
          <w:color w:val="1D2125"/>
          <w:kern w:val="0"/>
          <w:sz w:val="28"/>
          <w:szCs w:val="28"/>
        </w:rPr>
        <w:t>Writing Assignment</w:t>
      </w:r>
    </w:p>
    <w:p w14:paraId="7171A420" w14:textId="2AC88B76" w:rsidR="00C71AC1" w:rsidRPr="000B306C" w:rsidRDefault="000B306C">
      <w:pPr>
        <w:rPr>
          <w:rFonts w:ascii="Arial" w:hAnsi="Arial" w:cs="Arial"/>
          <w:color w:val="1F1F1F"/>
          <w:shd w:val="clear" w:color="auto" w:fill="FFFFFF"/>
        </w:rPr>
      </w:pPr>
      <w:r w:rsidRPr="000B306C">
        <w:rPr>
          <w:rFonts w:ascii="Arial" w:hAnsi="Arial" w:cs="Arial"/>
          <w:color w:val="1F1F1F"/>
          <w:shd w:val="clear" w:color="auto" w:fill="FFFFFF"/>
        </w:rPr>
        <w:t>Taipei 101 and the Kaohsiung 85 Sky Tower are both iconic landmarks of Taiwan, yet they display significant differences in their architectural symbolism and functional design. First, the visual inspiration for each building reflects a different cultural message; while Taipei 101 mimics the shape of a bamboo stalk to symbolize strength and growth, the 85 Sky Tower was designed to resemble the Chinese character "Gao" (</w:t>
      </w:r>
      <w:r w:rsidRPr="000B306C">
        <w:rPr>
          <w:rFonts w:ascii="Arial" w:hAnsi="Arial" w:cs="Arial"/>
          <w:color w:val="1F1F1F"/>
          <w:shd w:val="clear" w:color="auto" w:fill="FFFFFF"/>
        </w:rPr>
        <w:t>高</w:t>
      </w:r>
      <w:r w:rsidRPr="000B306C">
        <w:rPr>
          <w:rFonts w:ascii="Arial" w:hAnsi="Arial" w:cs="Arial"/>
          <w:color w:val="1F1F1F"/>
          <w:shd w:val="clear" w:color="auto" w:fill="FFFFFF"/>
        </w:rPr>
        <w:t>) to honor its host city, Kaohsiung. In contrast to their appearances, their internal functions serve different urban needs. Taipei 101 is primarily famous for its high-end luxury mall and premium office spaces, whereas the 85 Sky Tower is a multi-purpose complex that historically integrated a large hotel and residential apartments into its structure. Furthermore, the engineering solutions for stability vary between the two. Taipei 101 utilizes a massive, visible tuned mass damper to withstand typhoons and earthquakes; similarly, the 85 Sky Tower employs advanced structural damping, but it relies more on its unique pronged, twin-tower base for balance. In conclusion, although both skyscrapers define their respective skylines, they represent the distinct cultural identities and engineering priorities of northern and southern Taiwan.</w:t>
      </w:r>
    </w:p>
    <w:p w14:paraId="6A9AFBF1" w14:textId="77777777" w:rsidR="000B306C" w:rsidRDefault="000B306C">
      <w:pPr>
        <w:rPr>
          <w:rFonts w:ascii="Arial" w:hAnsi="Arial" w:cs="Arial"/>
          <w:color w:val="1F1F1F"/>
          <w:shd w:val="clear" w:color="auto" w:fill="FFFFFF"/>
        </w:rPr>
      </w:pPr>
    </w:p>
    <w:p w14:paraId="7383C438" w14:textId="1ED64FE6" w:rsidR="000B306C" w:rsidRDefault="000B306C" w:rsidP="000B306C">
      <w:pPr>
        <w:pStyle w:val="a3"/>
        <w:numPr>
          <w:ilvl w:val="0"/>
          <w:numId w:val="4"/>
        </w:numPr>
        <w:ind w:leftChars="0"/>
        <w:rPr>
          <w:b/>
          <w:bCs/>
          <w:sz w:val="28"/>
          <w:szCs w:val="28"/>
        </w:rPr>
      </w:pPr>
      <w:r w:rsidRPr="000B306C">
        <w:rPr>
          <w:b/>
          <w:bCs/>
          <w:sz w:val="28"/>
          <w:szCs w:val="28"/>
        </w:rPr>
        <w:t>CNN Online Activities and summary writing</w:t>
      </w:r>
    </w:p>
    <w:p w14:paraId="7F061F15" w14:textId="720B869B" w:rsidR="000B306C" w:rsidRPr="000B306C" w:rsidRDefault="000B306C" w:rsidP="000B306C">
      <w:pPr>
        <w:pStyle w:val="Web"/>
      </w:pPr>
      <w:r w:rsidRPr="000B306C">
        <w:t>Word Count: Approximately 195 words.</w:t>
      </w:r>
    </w:p>
    <w:p w14:paraId="28E36BAE" w14:textId="400DF20C" w:rsidR="000B306C" w:rsidRPr="000B306C" w:rsidRDefault="000B306C" w:rsidP="000B306C">
      <w:pPr>
        <w:pStyle w:val="Web"/>
      </w:pPr>
      <w:r w:rsidRPr="000B306C">
        <w:t>Topic Sentence: Included at the beginning.</w:t>
      </w:r>
    </w:p>
    <w:p w14:paraId="37A6C036" w14:textId="356A09FD" w:rsidR="000B306C" w:rsidRPr="000B306C" w:rsidRDefault="000B306C" w:rsidP="000B306C">
      <w:pPr>
        <w:pStyle w:val="Web"/>
      </w:pPr>
      <w:r w:rsidRPr="000B306C">
        <w:t>Three Supporting Ideas: 1. Symbolic Design, 2. Functional Purpose, 3. Engineering/Stability.</w:t>
      </w:r>
    </w:p>
    <w:p w14:paraId="1328B4D5" w14:textId="2B5D4D45" w:rsidR="000B306C" w:rsidRPr="000B306C" w:rsidRDefault="000B306C" w:rsidP="000B306C">
      <w:pPr>
        <w:pStyle w:val="Web"/>
      </w:pPr>
      <w:r w:rsidRPr="000B306C">
        <w:t>Signal Words Used:</w:t>
      </w:r>
    </w:p>
    <w:p w14:paraId="1BAE015C" w14:textId="77777777" w:rsidR="000B306C" w:rsidRPr="000B306C" w:rsidRDefault="000B306C" w:rsidP="000B306C">
      <w:pPr>
        <w:pStyle w:val="Web"/>
        <w:numPr>
          <w:ilvl w:val="0"/>
          <w:numId w:val="5"/>
        </w:numPr>
        <w:ind w:left="840"/>
      </w:pPr>
      <w:r w:rsidRPr="000B306C">
        <w:t>First</w:t>
      </w:r>
    </w:p>
    <w:p w14:paraId="7D76DFD0" w14:textId="77777777" w:rsidR="000B306C" w:rsidRPr="000B306C" w:rsidRDefault="000B306C" w:rsidP="000B306C">
      <w:pPr>
        <w:pStyle w:val="Web"/>
        <w:numPr>
          <w:ilvl w:val="0"/>
          <w:numId w:val="5"/>
        </w:numPr>
        <w:ind w:left="840"/>
      </w:pPr>
      <w:r w:rsidRPr="000B306C">
        <w:t>In contrast</w:t>
      </w:r>
    </w:p>
    <w:p w14:paraId="54753402" w14:textId="77777777" w:rsidR="000B306C" w:rsidRPr="000B306C" w:rsidRDefault="000B306C" w:rsidP="000B306C">
      <w:pPr>
        <w:pStyle w:val="Web"/>
        <w:numPr>
          <w:ilvl w:val="0"/>
          <w:numId w:val="5"/>
        </w:numPr>
        <w:ind w:left="840"/>
      </w:pPr>
      <w:r w:rsidRPr="000B306C">
        <w:t>Whereas</w:t>
      </w:r>
    </w:p>
    <w:p w14:paraId="2F591DE6" w14:textId="77777777" w:rsidR="000B306C" w:rsidRPr="000B306C" w:rsidRDefault="000B306C" w:rsidP="000B306C">
      <w:pPr>
        <w:pStyle w:val="Web"/>
        <w:numPr>
          <w:ilvl w:val="0"/>
          <w:numId w:val="5"/>
        </w:numPr>
        <w:ind w:left="840"/>
      </w:pPr>
      <w:r w:rsidRPr="000B306C">
        <w:t>Furthermore</w:t>
      </w:r>
    </w:p>
    <w:p w14:paraId="08DCCCFC" w14:textId="77777777" w:rsidR="000B306C" w:rsidRPr="000B306C" w:rsidRDefault="000B306C" w:rsidP="000B306C">
      <w:pPr>
        <w:pStyle w:val="Web"/>
        <w:numPr>
          <w:ilvl w:val="0"/>
          <w:numId w:val="5"/>
        </w:numPr>
        <w:ind w:left="840"/>
      </w:pPr>
      <w:r w:rsidRPr="000B306C">
        <w:t>Similarly</w:t>
      </w:r>
    </w:p>
    <w:p w14:paraId="1EC3DC89" w14:textId="0985EC38" w:rsidR="000B306C" w:rsidRPr="000B306C" w:rsidRDefault="000B306C" w:rsidP="000B306C">
      <w:pPr>
        <w:pStyle w:val="Web"/>
        <w:numPr>
          <w:ilvl w:val="0"/>
          <w:numId w:val="5"/>
        </w:numPr>
        <w:ind w:left="840"/>
        <w:rPr>
          <w:rFonts w:hint="eastAsia"/>
        </w:rPr>
      </w:pPr>
      <w:r w:rsidRPr="000B306C">
        <w:t>In conclusion</w:t>
      </w:r>
    </w:p>
    <w:sectPr w:rsidR="000B306C" w:rsidRPr="000B306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5B9B"/>
    <w:multiLevelType w:val="hybridMultilevel"/>
    <w:tmpl w:val="4216AA4C"/>
    <w:lvl w:ilvl="0" w:tplc="F61AF3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3DF0CAF"/>
    <w:multiLevelType w:val="hybridMultilevel"/>
    <w:tmpl w:val="BF466EDA"/>
    <w:lvl w:ilvl="0" w:tplc="F61AF3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9B74B5"/>
    <w:multiLevelType w:val="hybridMultilevel"/>
    <w:tmpl w:val="227C4586"/>
    <w:lvl w:ilvl="0" w:tplc="2B76C6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B415A22"/>
    <w:multiLevelType w:val="multilevel"/>
    <w:tmpl w:val="2194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8790A"/>
    <w:multiLevelType w:val="multilevel"/>
    <w:tmpl w:val="AA14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6C"/>
    <w:rsid w:val="000B306C"/>
    <w:rsid w:val="00C71A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DFB6"/>
  <w15:chartTrackingRefBased/>
  <w15:docId w15:val="{79C82AC6-4DEF-4ECA-99D8-4D8AA887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306C"/>
    <w:pPr>
      <w:ind w:leftChars="200" w:left="480"/>
    </w:pPr>
  </w:style>
  <w:style w:type="character" w:styleId="a4">
    <w:name w:val="Strong"/>
    <w:basedOn w:val="a0"/>
    <w:uiPriority w:val="22"/>
    <w:qFormat/>
    <w:rsid w:val="000B306C"/>
    <w:rPr>
      <w:b/>
      <w:bCs/>
    </w:rPr>
  </w:style>
  <w:style w:type="paragraph" w:styleId="Web">
    <w:name w:val="Normal (Web)"/>
    <w:basedOn w:val="a"/>
    <w:uiPriority w:val="99"/>
    <w:unhideWhenUsed/>
    <w:rsid w:val="000B306C"/>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05317">
      <w:bodyDiv w:val="1"/>
      <w:marLeft w:val="0"/>
      <w:marRight w:val="0"/>
      <w:marTop w:val="0"/>
      <w:marBottom w:val="0"/>
      <w:divBdr>
        <w:top w:val="none" w:sz="0" w:space="0" w:color="auto"/>
        <w:left w:val="none" w:sz="0" w:space="0" w:color="auto"/>
        <w:bottom w:val="none" w:sz="0" w:space="0" w:color="auto"/>
        <w:right w:val="none" w:sz="0" w:space="0" w:color="auto"/>
      </w:divBdr>
    </w:div>
    <w:div w:id="133988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2026-05-14T07:48:00Z</dcterms:created>
  <dcterms:modified xsi:type="dcterms:W3CDTF">2026-05-14T07:56:00Z</dcterms:modified>
</cp:coreProperties>
</file>