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Charlie A. Johnson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London, United Kingdom  |  charlie.base@icloud.com  |  linkedin.com/in/charlie-a-johnson  |  charlieajohnson.com</w:t>
      </w:r>
    </w:p>
    <w:p>
      <w:pPr>
        <w:pBdr>
          <w:bottom w:val="single" w:color="1A3A5C" w:sz="8" w:space="1"/>
        </w:pBdr>
        <w:spacing w:before="0" w:after="8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PROFILE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MSc Computer Science student (University of Birmingham) with a background in formal modelling of complex systems under uncertainty. Research interests span temporal coherence in distributed systems, coordination feasibility under latency constraints, gradient encoding in supervisory interfaces, and geometric/topological data analysis. Comfortable working with formal definitions, threshold conditions, partial order relations, and algorithmic implementations.</w:t>
      </w:r>
    </w:p>
    <w:p>
      <w:pPr>
        <w:pBdr>
          <w:bottom w:val="single" w:color="4A7BA7" w:sz="8" w:space="1"/>
        </w:pBdr>
        <w:spacing w:before="0" w:after="8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CURRENT RESEARCH THREADS</w:t>
      </w:r>
    </w:p>
    <w:p>
      <w:pPr>
        <w:spacing w:before="4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Work is organised across three connected threads: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Temporal Systems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</w:t>
      </w:r>
    </w:p>
    <w:p>
      <w:pPr>
        <w:spacing w:before="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Interval-based representations of event time under clock drift and intermittency; safe partial ordering; auditability under timestamp collapse. Applied to long-horizon, unmanned, and polar sensing deployments.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Coordination &amp; Feasibility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</w:t>
      </w:r>
    </w:p>
    <w:p>
      <w:pPr>
        <w:spacing w:before="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Set-theoretic modelling of feasible action sets (ECB framework); latency threshold exclusion; non-compensability proofs; applied to remote work policy and ecosystem persistence.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Human Oversight &amp; Gradient Encoding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</w:t>
      </w:r>
    </w:p>
    <w:p>
      <w:pPr>
        <w:spacing w:before="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Continuous bounded state encoding in supervisory systems (GEHOS); phase legibility as an ambient coordination signal; boundary condition taxonomy and pre-registered falsification criteria across five empirical pillars.</w:t>
      </w:r>
    </w:p>
    <w:p>
      <w:pPr>
        <w:pBdr>
          <w:bottom w:val="single" w:color="4A7BA7" w:sz="8" w:space="1"/>
        </w:pBdr>
        <w:spacing w:before="0" w:after="8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RESEARCH INTERESTS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Topological and geometric data analysis; manifold-based representations; probabilistic inference; information-theoretic modelling; temporal uncertainty propagation; partial orders in distributed systems; human oversight system design; gradient encoding in supervisory interfaces; coordination feasibility under latency constraints; modular construction systems.</w:t>
      </w:r>
    </w:p>
    <w:p>
      <w:pPr>
        <w:pBdr>
          <w:bottom w:val="single" w:color="4A7BA7" w:sz="8" w:space="1"/>
        </w:pBdr>
        <w:spacing w:before="0" w:after="8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University of Birmingham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2025 – Present</w:t>
      </w:r>
    </w:p>
    <w:p>
      <w:pPr>
        <w:spacing w:before="0" w:after="40"/>
      </w:pPr>
      <w:r>
        <w:rPr>
          <w:rFonts w:ascii="Arial" w:cs="Arial" w:eastAsia="Arial" w:hAnsi="Arial"/>
          <w:color w:val="4A7BA7"/>
          <w:sz w:val="20"/>
          <w:szCs w:val="20"/>
        </w:rPr>
        <w:t xml:space="preserve">MSc Computer Science (in progress)  ·  United Kingdom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Focus: software architecture, data systems, AI/ML foundations (taught MSc).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Emphasis: analytical reasoning, modelling under uncertainty, and written technical communication.</w:t>
      </w:r>
    </w:p>
    <w:p>
      <w:pPr>
        <w:pBdr>
          <w:bottom w:val="single" w:color="4A7BA7" w:sz="8" w:space="1"/>
        </w:pBdr>
        <w:spacing w:before="0" w:after="8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Independent Researcher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2025 – Present</w:t>
      </w:r>
    </w:p>
    <w:p>
      <w:pPr>
        <w:spacing w:before="0" w:after="40"/>
      </w:pPr>
      <w:r>
        <w:rPr>
          <w:rFonts w:ascii="Arial" w:cs="Arial" w:eastAsia="Arial" w:hAnsi="Arial"/>
          <w:color w:val="4A7BA7"/>
          <w:sz w:val="20"/>
          <w:szCs w:val="20"/>
        </w:rPr>
        <w:t xml:space="preserve">Formal modelling of temporal and coordination systems  ·  United Kingdom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Developed interval-based representations of event time under clock drift and intermittency; modelled temporal uncertainty as bounded intervals with preserved provenance.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Defined safe partial ordering conditions for events (A⁺ &lt; B⁻) to prevent false causal inference under timestamp collapse.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Formalised Effective Capital Blueprint (ECB) as a set-valued mapping ECB(C, L, θ) and derived threshold exclusion conditions (non-compensability under latency).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Derived latency elasticity classification (Type I–III) and specified an implementable procedure for empirical threshold detection and action feasibility classification.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Designed multi-pillar experimental research programme (GEHOS) with pre-registered falsification criteria, boundary condition taxonomy, and power analyses across five empirical studies.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Developed phase legibility framework linking gradient-encoded temporal signals to reduced coordination friction; specified minimal falsifiable experimental design.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Aurelle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2021 – Present</w:t>
      </w:r>
    </w:p>
    <w:p>
      <w:pPr>
        <w:spacing w:before="0" w:after="40"/>
      </w:pPr>
      <w:r>
        <w:rPr>
          <w:rFonts w:ascii="Arial" w:cs="Arial" w:eastAsia="Arial" w:hAnsi="Arial"/>
          <w:color w:val="4A7BA7"/>
          <w:sz w:val="20"/>
          <w:szCs w:val="20"/>
        </w:rPr>
        <w:t xml:space="preserve">Systems Modelling Lead — Scalable Infrastructure  ·  United States (On-site)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Modelled decision flows and constraint propagation in high-variance operational systems spanning finance, supply chain, and cross-functional execution.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Designed measurement frameworks for leading-indicator detection under incomplete information; reduced ambiguity in operational inference.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Implemented structured data models and automation pipelines to formalise system behaviour and preserve system invariants under change.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KPMG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2018 – 2020</w:t>
      </w:r>
    </w:p>
    <w:p>
      <w:pPr>
        <w:spacing w:before="0" w:after="40"/>
      </w:pPr>
      <w:r>
        <w:rPr>
          <w:rFonts w:ascii="Arial" w:cs="Arial" w:eastAsia="Arial" w:hAnsi="Arial"/>
          <w:color w:val="4A7BA7"/>
          <w:sz w:val="20"/>
          <w:szCs w:val="20"/>
        </w:rPr>
        <w:t xml:space="preserve">Systems Engineering Associate — Regulated Financial Systems  ·  United States (On-site)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Translated regulatory requirements into system/data changes across core banking environments; supported audits, dependency mapping, and change-control planning.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Contributed to modernisation recommendations with production safety constraints and staged rollout planning.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Siemens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2016 – 2018</w:t>
      </w:r>
    </w:p>
    <w:p>
      <w:pPr>
        <w:spacing w:before="0" w:after="40"/>
      </w:pPr>
      <w:r>
        <w:rPr>
          <w:rFonts w:ascii="Arial" w:cs="Arial" w:eastAsia="Arial" w:hAnsi="Arial"/>
          <w:color w:val="4A7BA7"/>
          <w:sz w:val="20"/>
          <w:szCs w:val="20"/>
        </w:rPr>
        <w:t xml:space="preserve">Systems Engineering Intern — Internal Tools &amp; Automation  ·  United States (On-site)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Built internal tools spanning product rules, automation, and sales-support workflows; reduced configuration ambiguity via standardised nomenclature and structured data models.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Developed systems-thinking foundation: how design decisions propagate across hardware, software, and commercial layers.</w:t>
      </w:r>
    </w:p>
    <w:p>
      <w:pPr>
        <w:pBdr>
          <w:bottom w:val="single" w:color="4A7BA7" w:sz="8" w:space="1"/>
        </w:pBdr>
        <w:spacing w:before="0" w:after="8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SELECTED TECHNICAL PAPERS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Temporal Coherence in Long-Horizon Sensor Systems  ·  2026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Interval event-time representation and uncertainty propagation under intermittency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Formalised event time as a bounded interval t ∈ [t − ε, t + ε] with explicit provenance; separated event/record/ingest time to preserve auditability.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Derived safe partial-ordering rule for temporal precedence (A⁺ &lt; B⁻) and specified invariants for non-destructive correction.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Temporal Failure Modes in Arctic Sensing Systems  ·  2026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Companion note identifying polar deployments as the canonical stress-test for timestamp collapse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Explains why the Arctic exposes temporal coherence failure earliest by removing the assumptions (frequent sync, human continuity, short feedback loops) that normally conceal it.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Links silent timestamp collapse to downstream loss of auditability, causal reasoning, and decision defensibility as autonomy scales.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Latency and the Effective Capital Blueprint (ECB)  ·  2026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Set-theoretic modelling of feasibility under coordination delay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Defined ECB(C, L, θ) ⊆ X as a set-valued feasibility mapping; proved capital saturation and latency-threshold exclusion for coordination-critical actions.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Introduced latency elasticity ε̂ₓ and an implementable algorithm for Type I–III action classification with complexity notes.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Remote Work Paradox  ·  2026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Applied ECB framework: Type I/II/III work taxonomy and non-compensability under remote latency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Derived a practical taxonomy of work types based on iteration intensity and feedback-loop tightness; specified conditions under which capital cannot compensate for coordination latency.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Identified predictable failure modes in blanket remote-first and naive hybrid policies; provided actionable classification procedure for organisations.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Phase Legibility as Infrastructure  ·  2026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Continuous gradient phase encoding and bounded testable hypotheses for coordination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Defined phase φ = (t − t₀)/(T − t₀) and proposed a bounded mediation hypothesis (L → E → C) linking gradient encoding to reduced coordination friction.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Specified falsifiable experimental predictions and minimal test design for discrete-state vs gradient displays in shared environments.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Gradient Encoding in Human Oversight Systems (GEHOS v3)  ·  2026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Research umbrella: continuous bounded state encoding across supervisory, trust calibration, and coherence pillars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Formalised a four-dimensional construct decomposition (signal topology, perceptual channel, temporal dynamics, information structure) with explicit boundary conditions.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Designed five-pillar experimental programme with pre-registered falsification criteria, power analyses, and competing-hypothesis tests; total estimated timeline 24–30 months.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MSS-RSC: Modular Stone Standard for Robotic Construction  ·  2026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Open mechanical interface protocol for compression-dominant modular stone assemblies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Defined four interface classes (kinematic seating, shear-transfer keys, dowel indexing, controlled bedding) with dimensional tolerances, performance equations, and verification procedures.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Specified digital-to-physical workflow with Monte Carlo tolerance propagation; preliminary FEA validation demonstrates stress uniformity within 8% and shear capacity at 1.52× design load.</w:t>
      </w:r>
    </w:p>
    <w:p>
      <w:pPr>
        <w:pBdr>
          <w:bottom w:val="single" w:color="4A7BA7" w:sz="8" w:space="1"/>
        </w:pBdr>
        <w:spacing w:before="0" w:after="8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TECHNICAL &amp; MATHEMATICAL SKILLS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Mathematical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</w:t>
      </w:r>
    </w:p>
    <w:p>
      <w:pPr>
        <w:spacing w:before="2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Set-valued mappings; threshold analysis; partial orders; interval arithmetic; probabilistic reasoning; elasticity estimation; formal invariant specification; control-theoretic delay constraints.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Programming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</w:t>
      </w:r>
    </w:p>
    <w:p>
      <w:pPr>
        <w:spacing w:before="2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Python (NumPy, SciPy, Pandas); algorithmic implementation; statistical modelling; data pipelines; structured data modelling.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Conceptual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</w:t>
      </w:r>
    </w:p>
    <w:p>
      <w:pPr>
        <w:spacing w:before="2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Modelling under uncertainty; feasibility-set analysis; system-level invariants; high-dimensional constraint reasoning; experimental design and pre-registration.</w:t>
      </w:r>
    </w:p>
    <w:p>
      <w:pPr>
        <w:pBdr>
          <w:bottom w:val="single" w:color="4A7BA7" w:sz="8" w:space="1"/>
        </w:pBdr>
        <w:spacing w:before="0" w:after="8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ADDITIONAL INFORMATION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Languages: English (native)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2026-02-18T12:18:45.920Z</dcterms:created>
  <dcterms:modified xsi:type="dcterms:W3CDTF">2026-02-18T12:18:45.921Z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