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00.0" w:type="dxa"/>
        <w:jc w:val="left"/>
        <w:tblLayout w:type="fixed"/>
        <w:tblLook w:val="0400"/>
      </w:tblPr>
      <w:tblGrid>
        <w:gridCol w:w="8700"/>
        <w:tblGridChange w:id="0">
          <w:tblGrid>
            <w:gridCol w:w="87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0.0" w:type="dxa"/>
              <w:left w:w="0.0" w:type="dxa"/>
              <w:bottom w:w="0.0" w:type="dxa"/>
              <w:right w:w="0.0" w:type="dxa"/>
            </w:tcM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00.0" w:type="dxa"/>
              <w:jc w:val="left"/>
              <w:tblLayout w:type="fixed"/>
              <w:tblLook w:val="0400"/>
            </w:tblPr>
            <w:tblGrid>
              <w:gridCol w:w="8700"/>
              <w:tblGridChange w:id="0">
                <w:tblGrid>
                  <w:gridCol w:w="87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50.0" w:type="dxa"/>
                    <w:left w:w="0.0" w:type="dxa"/>
                    <w:bottom w:w="0.0" w:type="dxa"/>
                    <w:right w:w="0.0" w:type="dxa"/>
                  </w:tcMa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700.0" w:type="dxa"/>
                    <w:jc w:val="left"/>
                    <w:tblLayout w:type="fixed"/>
                    <w:tblLook w:val="0400"/>
                  </w:tblPr>
                  <w:tblGrid>
                    <w:gridCol w:w="8694"/>
                    <w:gridCol w:w="6"/>
                    <w:tblGridChange w:id="0">
                      <w:tblGrid>
                        <w:gridCol w:w="8694"/>
                        <w:gridCol w:w="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50.0" w:type="dxa"/>
                          <w:bottom w:w="150.0" w:type="dxa"/>
                          <w:right w:w="150.0" w:type="dxa"/>
                        </w:tcMar>
                      </w:tcPr>
                      <w:p w:rsidR="00000000" w:rsidDel="00000000" w:rsidP="00000000" w:rsidRDefault="00000000" w:rsidRPr="00000000" w14:paraId="00000004">
                        <w:pPr>
                          <w:spacing w:after="150" w:lineRule="auto"/>
                          <w:jc w:val="center"/>
                          <w:rPr>
                            <w:rFonts w:ascii="Helvetica Neue" w:cs="Helvetica Neue" w:eastAsia="Helvetica Neue" w:hAnsi="Helvetica Neue"/>
                            <w:color w:val="e87427"/>
                            <w:sz w:val="21"/>
                            <w:szCs w:val="21"/>
                          </w:rPr>
                        </w:pPr>
                        <w:bookmarkStart w:colFirst="0" w:colLast="0" w:name="_gjdgxs" w:id="0"/>
                        <w:bookmarkEnd w:id="0"/>
                        <w:r w:rsidDel="00000000" w:rsidR="00000000" w:rsidRPr="00000000">
                          <w:rPr>
                            <w:rFonts w:ascii="Trebuchet MS" w:cs="Trebuchet MS" w:eastAsia="Trebuchet MS" w:hAnsi="Trebuchet MS"/>
                            <w:color w:val="e87427"/>
                            <w:sz w:val="45"/>
                            <w:szCs w:val="45"/>
                            <w:rtl w:val="0"/>
                          </w:rPr>
                          <w:t xml:space="preserve">Exogenous and Endogenous Variables in Structural Equation Modeling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150.0" w:type="dxa"/>
                          <w:right w:w="0.0" w:type="dxa"/>
                        </w:tcMar>
                      </w:tcPr>
                      <w:p w:rsidR="00000000" w:rsidDel="00000000" w:rsidP="00000000" w:rsidRDefault="00000000" w:rsidRPr="00000000" w14:paraId="00000005">
                        <w:pPr>
                          <w:spacing w:after="0" w:line="240" w:lineRule="auto"/>
                          <w:rPr>
                            <w:rFonts w:ascii="Helvetica Neue" w:cs="Helvetica Neue" w:eastAsia="Helvetica Neue" w:hAnsi="Helvetica Neue"/>
                            <w:color w:val="e87427"/>
                            <w:sz w:val="21"/>
                            <w:szCs w:val="21"/>
                          </w:rPr>
                        </w:pPr>
                        <w:r w:rsidDel="00000000" w:rsidR="00000000" w:rsidRPr="00000000">
                          <w:rPr>
                            <w:rtl w:val="0"/>
                          </w:rPr>
                        </w:r>
                      </w:p>
                    </w:tc>
                  </w:tr>
                </w:tbl>
                <w:p w:rsidR="00000000" w:rsidDel="00000000" w:rsidP="00000000" w:rsidRDefault="00000000" w:rsidRPr="00000000" w14:paraId="00000006">
                  <w:pPr>
                    <w:spacing w:after="0" w:lineRule="auto"/>
                    <w:rPr>
                      <w:rFonts w:ascii="Helvetica Neue" w:cs="Helvetica Neue" w:eastAsia="Helvetica Neue" w:hAnsi="Helvetica Neue"/>
                      <w:sz w:val="21"/>
                      <w:szCs w:val="21"/>
                    </w:rPr>
                  </w:pPr>
                  <w:r w:rsidDel="00000000" w:rsidR="00000000" w:rsidRPr="00000000">
                    <w:rPr>
                      <w:rtl w:val="0"/>
                    </w:rPr>
                  </w:r>
                </w:p>
              </w:tc>
            </w:tr>
          </w:tbl>
          <w:p w:rsidR="00000000" w:rsidDel="00000000" w:rsidP="00000000" w:rsidRDefault="00000000" w:rsidRPr="00000000" w14:paraId="00000007">
            <w:pPr>
              <w:spacing w:after="0" w:lineRule="auto"/>
              <w:rPr>
                <w:rFonts w:ascii="Helvetica Neue" w:cs="Helvetica Neue" w:eastAsia="Helvetica Neue" w:hAnsi="Helvetica Neue"/>
                <w:sz w:val="21"/>
                <w:szCs w:val="2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1"/>
                <w:szCs w:val="21"/>
              </w:rPr>
            </w:pPr>
            <w:r w:rsidDel="00000000" w:rsidR="00000000" w:rsidRPr="00000000">
              <w:rPr>
                <w:rtl w:val="0"/>
              </w:rPr>
            </w:r>
          </w:p>
          <w:tbl>
            <w:tblPr>
              <w:tblStyle w:val="Table4"/>
              <w:tblW w:w="8700.0" w:type="dxa"/>
              <w:jc w:val="left"/>
              <w:tblLayout w:type="fixed"/>
              <w:tblLook w:val="0400"/>
            </w:tblPr>
            <w:tblGrid>
              <w:gridCol w:w="8700"/>
              <w:tblGridChange w:id="0">
                <w:tblGrid>
                  <w:gridCol w:w="87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50.0" w:type="dxa"/>
                    <w:left w:w="0.0" w:type="dxa"/>
                    <w:bottom w:w="0.0" w:type="dxa"/>
                    <w:right w:w="0.0" w:type="dxa"/>
                  </w:tcM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1"/>
                      <w:szCs w:val="21"/>
                    </w:rPr>
                  </w:pPr>
                  <w:r w:rsidDel="00000000" w:rsidR="00000000" w:rsidRPr="00000000">
                    <w:rPr>
                      <w:rtl w:val="0"/>
                    </w:rPr>
                  </w:r>
                </w:p>
                <w:tbl>
                  <w:tblPr>
                    <w:tblStyle w:val="Table5"/>
                    <w:tblW w:w="8700.0" w:type="dxa"/>
                    <w:jc w:val="left"/>
                    <w:tblLayout w:type="fixed"/>
                    <w:tblLook w:val="0400"/>
                  </w:tblPr>
                  <w:tblGrid>
                    <w:gridCol w:w="8694"/>
                    <w:gridCol w:w="6"/>
                    <w:tblGridChange w:id="0">
                      <w:tblGrid>
                        <w:gridCol w:w="8694"/>
                        <w:gridCol w:w="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50.0" w:type="dxa"/>
                          <w:bottom w:w="150.0" w:type="dxa"/>
                          <w:right w:w="150.0" w:type="dxa"/>
                        </w:tcMar>
                      </w:tcPr>
                      <w:p w:rsidR="00000000" w:rsidDel="00000000" w:rsidP="00000000" w:rsidRDefault="00000000" w:rsidRPr="00000000" w14:paraId="0000000A">
                        <w:pPr>
                          <w:spacing w:after="0" w:lineRule="auto"/>
                          <w:jc w:val="center"/>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0B">
                        <w:pPr>
                          <w:spacing w:after="0" w:lineRule="auto"/>
                          <w:jc w:val="center"/>
                          <w:rPr>
                            <w:rFonts w:ascii="Helvetica Neue" w:cs="Helvetica Neue" w:eastAsia="Helvetica Neue" w:hAnsi="Helvetica Neue"/>
                            <w:color w:val="e87427"/>
                            <w:sz w:val="21"/>
                            <w:szCs w:val="21"/>
                          </w:rPr>
                        </w:pPr>
                        <w:r w:rsidDel="00000000" w:rsidR="00000000" w:rsidRPr="00000000">
                          <w:rPr>
                            <w:rFonts w:ascii="Trebuchet MS" w:cs="Trebuchet MS" w:eastAsia="Trebuchet MS" w:hAnsi="Trebuchet MS"/>
                            <w:color w:val="2361a1"/>
                            <w:sz w:val="45"/>
                            <w:szCs w:val="45"/>
                            <w:rtl w:val="0"/>
                          </w:rPr>
                          <w:t xml:space="preserve">By Karen Grace-Martin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150.0" w:type="dxa"/>
                          <w:right w:w="0.0" w:type="dxa"/>
                        </w:tcMar>
                      </w:tcPr>
                      <w:p w:rsidR="00000000" w:rsidDel="00000000" w:rsidP="00000000" w:rsidRDefault="00000000" w:rsidRPr="00000000" w14:paraId="0000000C">
                        <w:pPr>
                          <w:spacing w:after="0" w:lineRule="auto"/>
                          <w:jc w:val="center"/>
                          <w:rPr>
                            <w:rFonts w:ascii="Helvetica Neue" w:cs="Helvetica Neue" w:eastAsia="Helvetica Neue" w:hAnsi="Helvetica Neue"/>
                            <w:color w:val="e87427"/>
                            <w:sz w:val="21"/>
                            <w:szCs w:val="21"/>
                          </w:rPr>
                        </w:pPr>
                        <w:r w:rsidDel="00000000" w:rsidR="00000000" w:rsidRPr="00000000">
                          <w:rPr>
                            <w:rtl w:val="0"/>
                          </w:rPr>
                        </w:r>
                      </w:p>
                    </w:tc>
                  </w:tr>
                </w:tbl>
                <w:p w:rsidR="00000000" w:rsidDel="00000000" w:rsidP="00000000" w:rsidRDefault="00000000" w:rsidRPr="00000000" w14:paraId="0000000D">
                  <w:pPr>
                    <w:spacing w:after="0" w:lineRule="auto"/>
                    <w:rPr>
                      <w:rFonts w:ascii="Helvetica Neue" w:cs="Helvetica Neue" w:eastAsia="Helvetica Neue" w:hAnsi="Helvetica Neue"/>
                      <w:sz w:val="21"/>
                      <w:szCs w:val="21"/>
                    </w:rPr>
                  </w:pPr>
                  <w:r w:rsidDel="00000000" w:rsidR="00000000" w:rsidRPr="00000000">
                    <w:rPr>
                      <w:rtl w:val="0"/>
                    </w:rPr>
                  </w:r>
                </w:p>
              </w:tc>
            </w:tr>
          </w:tbl>
          <w:p w:rsidR="00000000" w:rsidDel="00000000" w:rsidP="00000000" w:rsidRDefault="00000000" w:rsidRPr="00000000" w14:paraId="0000000E">
            <w:pPr>
              <w:spacing w:after="0" w:lineRule="auto"/>
              <w:rPr>
                <w:rFonts w:ascii="Helvetica Neue" w:cs="Helvetica Neue" w:eastAsia="Helvetica Neue" w:hAnsi="Helvetica Neue"/>
                <w:sz w:val="21"/>
                <w:szCs w:val="21"/>
              </w:rPr>
            </w:pP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1"/>
          <w:szCs w:val="21"/>
        </w:rPr>
      </w:pPr>
      <w:r w:rsidDel="00000000" w:rsidR="00000000" w:rsidRPr="00000000">
        <w:rPr>
          <w:rtl w:val="0"/>
        </w:rPr>
      </w:r>
    </w:p>
    <w:tbl>
      <w:tblPr>
        <w:tblStyle w:val="Table6"/>
        <w:tblW w:w="8706.0" w:type="dxa"/>
        <w:jc w:val="left"/>
        <w:tblLayout w:type="fixed"/>
        <w:tblLook w:val="0400"/>
      </w:tblPr>
      <w:tblGrid>
        <w:gridCol w:w="8706"/>
        <w:tblGridChange w:id="0">
          <w:tblGrid>
            <w:gridCol w:w="870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0.0" w:type="dxa"/>
              <w:left w:w="0.0" w:type="dxa"/>
              <w:bottom w:w="0.0" w:type="dxa"/>
              <w:right w:w="0.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1"/>
                <w:szCs w:val="21"/>
              </w:rPr>
            </w:pPr>
            <w:r w:rsidDel="00000000" w:rsidR="00000000" w:rsidRPr="00000000">
              <w:rPr>
                <w:rtl w:val="0"/>
              </w:rPr>
            </w:r>
          </w:p>
          <w:tbl>
            <w:tblPr>
              <w:tblStyle w:val="Table7"/>
              <w:tblW w:w="8700.0" w:type="dxa"/>
              <w:jc w:val="left"/>
              <w:tblLayout w:type="fixed"/>
              <w:tblLook w:val="0400"/>
            </w:tblPr>
            <w:tblGrid>
              <w:gridCol w:w="8700"/>
              <w:tblGridChange w:id="0">
                <w:tblGrid>
                  <w:gridCol w:w="87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50.0" w:type="dxa"/>
                    <w:left w:w="0.0" w:type="dxa"/>
                    <w:bottom w:w="0.0" w:type="dxa"/>
                    <w:right w:w="0.0" w:type="dxa"/>
                  </w:tcM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1"/>
                      <w:szCs w:val="21"/>
                    </w:rPr>
                  </w:pPr>
                  <w:r w:rsidDel="00000000" w:rsidR="00000000" w:rsidRPr="00000000">
                    <w:rPr>
                      <w:rtl w:val="0"/>
                    </w:rPr>
                  </w:r>
                </w:p>
                <w:tbl>
                  <w:tblPr>
                    <w:tblStyle w:val="Table8"/>
                    <w:tblW w:w="8700.0" w:type="dxa"/>
                    <w:jc w:val="left"/>
                    <w:tblLayout w:type="fixed"/>
                    <w:tblLook w:val="0400"/>
                  </w:tblPr>
                  <w:tblGrid>
                    <w:gridCol w:w="8694"/>
                    <w:gridCol w:w="6"/>
                    <w:tblGridChange w:id="0">
                      <w:tblGrid>
                        <w:gridCol w:w="8694"/>
                        <w:gridCol w:w="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50.0" w:type="dxa"/>
                          <w:bottom w:w="150.0" w:type="dxa"/>
                          <w:right w:w="150.0" w:type="dxa"/>
                        </w:tcMar>
                      </w:tcPr>
                      <w:p w:rsidR="00000000" w:rsidDel="00000000" w:rsidP="00000000" w:rsidRDefault="00000000" w:rsidRPr="00000000" w14:paraId="00000012">
                        <w:pPr>
                          <w:spacing w:after="240" w:lineRule="auto"/>
                          <w:rPr>
                            <w:rFonts w:ascii="Helvetica Neue" w:cs="Helvetica Neue" w:eastAsia="Helvetica Neue" w:hAnsi="Helvetica Neue"/>
                            <w:color w:val="e87427"/>
                            <w:sz w:val="21"/>
                            <w:szCs w:val="21"/>
                          </w:rPr>
                        </w:pPr>
                        <w:r w:rsidDel="00000000" w:rsidR="00000000" w:rsidRPr="00000000">
                          <w:rPr>
                            <w:rFonts w:ascii="Trebuchet MS" w:cs="Trebuchet MS" w:eastAsia="Trebuchet MS" w:hAnsi="Trebuchet MS"/>
                            <w:color w:val="000000"/>
                            <w:sz w:val="27"/>
                            <w:szCs w:val="27"/>
                            <w:rtl w:val="0"/>
                          </w:rPr>
                          <w:t xml:space="preserve">In most regression models, there is one response variable and one or more predictors. From the model’s point of view, it doesn’t matter if those predictors are there to predict, to moderate, to explain, or to control. All that matters is that they’re all Xs, on the right side of the equation.</w:t>
                          <w:br w:type="textWrapping"/>
                          <w:br w:type="textWrapping"/>
                          <w:t xml:space="preserve">Structural equation modeling, though, is a system of equations. Sure, it can be such a simple system that it has only one equation, but it’s flexible enough to have many.</w:t>
                          <w:br w:type="textWrapping"/>
                          <w:br w:type="textWrapping"/>
                          <w:t xml:space="preserve">And when you have many equations, the same variable can be a response variable in one equation and a predictor in another. So the simple response/predictor dichotomy breaks down a bit because only a few variables may be only a predictor or only a response.</w:t>
                          <w:br w:type="textWrapping"/>
                          <w:t xml:space="preserve">But there is still an important and related dichotomy: Exogenous and Endogenous. Let’s take a look at what these are.</w:t>
                        </w:r>
                        <w:r w:rsidDel="00000000" w:rsidR="00000000" w:rsidRPr="00000000">
                          <w:rPr>
                            <w:rFonts w:ascii="Trebuchet MS" w:cs="Trebuchet MS" w:eastAsia="Trebuchet MS" w:hAnsi="Trebuchet MS"/>
                            <w:color w:val="e87427"/>
                            <w:sz w:val="27"/>
                            <w:szCs w:val="27"/>
                            <w:rtl w:val="0"/>
                          </w:rPr>
                          <w:br w:type="textWrapping"/>
                          <w:br w:type="textWrapping"/>
                        </w:r>
                        <w:r w:rsidDel="00000000" w:rsidR="00000000" w:rsidRPr="00000000">
                          <w:rPr>
                            <w:rFonts w:ascii="Trebuchet MS" w:cs="Trebuchet MS" w:eastAsia="Trebuchet MS" w:hAnsi="Trebuchet MS"/>
                            <w:color w:val="e87427"/>
                            <w:sz w:val="38"/>
                            <w:szCs w:val="38"/>
                            <w:rtl w:val="0"/>
                          </w:rPr>
                          <w:t xml:space="preserve">The difference between endogenous and exogenous</w:t>
                        </w:r>
                        <w:r w:rsidDel="00000000" w:rsidR="00000000" w:rsidRPr="00000000">
                          <w:rPr>
                            <w:rFonts w:ascii="Helvetica Neue" w:cs="Helvetica Neue" w:eastAsia="Helvetica Neue" w:hAnsi="Helvetica Neue"/>
                            <w:color w:val="e87427"/>
                            <w:sz w:val="21"/>
                            <w:szCs w:val="21"/>
                            <w:rtl w:val="0"/>
                          </w:rPr>
                          <w:br w:type="textWrapping"/>
                          <w:br w:type="textWrapping"/>
                        </w:r>
                        <w:r w:rsidDel="00000000" w:rsidR="00000000" w:rsidRPr="00000000">
                          <w:rPr>
                            <w:rFonts w:ascii="Trebuchet MS" w:cs="Trebuchet MS" w:eastAsia="Trebuchet MS" w:hAnsi="Trebuchet MS"/>
                            <w:color w:val="000000"/>
                            <w:sz w:val="27"/>
                            <w:szCs w:val="27"/>
                            <w:rtl w:val="0"/>
                          </w:rPr>
                          <w:t xml:space="preserve">Endogenous variables are response variables in some equation, anywhere in the model. In other words, if somewhere in the model, there is a one-headed arrow pointed to it, the variable is endogenous.</w:t>
                          <w:br w:type="textWrapping"/>
                          <w:br w:type="textWrapping"/>
                          <w:t xml:space="preserve">So the final response variable, if there is one, is always endogenous. So are mediators. So are any variables we might otherwise think of as predictors, if some other predictor is affecting their value.</w:t>
                          <w:br w:type="textWrapping"/>
                          <w:br w:type="textWrapping"/>
                          <w:t xml:space="preserve">In the following diagram, all the x variables are endogenous.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150.0" w:type="dxa"/>
                          <w:right w:w="0.0" w:type="dxa"/>
                        </w:tcMar>
                      </w:tcPr>
                      <w:p w:rsidR="00000000" w:rsidDel="00000000" w:rsidP="00000000" w:rsidRDefault="00000000" w:rsidRPr="00000000" w14:paraId="00000013">
                        <w:pPr>
                          <w:spacing w:after="0" w:line="240" w:lineRule="auto"/>
                          <w:rPr>
                            <w:rFonts w:ascii="Helvetica Neue" w:cs="Helvetica Neue" w:eastAsia="Helvetica Neue" w:hAnsi="Helvetica Neue"/>
                            <w:color w:val="e87427"/>
                            <w:sz w:val="21"/>
                            <w:szCs w:val="21"/>
                          </w:rPr>
                        </w:pPr>
                        <w:r w:rsidDel="00000000" w:rsidR="00000000" w:rsidRPr="00000000">
                          <w:rPr>
                            <w:rtl w:val="0"/>
                          </w:rPr>
                        </w:r>
                      </w:p>
                    </w:tc>
                  </w:tr>
                </w:tbl>
                <w:p w:rsidR="00000000" w:rsidDel="00000000" w:rsidP="00000000" w:rsidRDefault="00000000" w:rsidRPr="00000000" w14:paraId="00000014">
                  <w:pPr>
                    <w:spacing w:after="0" w:lineRule="auto"/>
                    <w:rPr>
                      <w:rFonts w:ascii="Helvetica Neue" w:cs="Helvetica Neue" w:eastAsia="Helvetica Neue" w:hAnsi="Helvetica Neue"/>
                      <w:sz w:val="21"/>
                      <w:szCs w:val="21"/>
                    </w:rPr>
                  </w:pPr>
                  <w:r w:rsidDel="00000000" w:rsidR="00000000" w:rsidRPr="00000000">
                    <w:rPr>
                      <w:rtl w:val="0"/>
                    </w:rPr>
                  </w:r>
                </w:p>
              </w:tc>
            </w:tr>
          </w:tbl>
          <w:p w:rsidR="00000000" w:rsidDel="00000000" w:rsidP="00000000" w:rsidRDefault="00000000" w:rsidRPr="00000000" w14:paraId="00000015">
            <w:pPr>
              <w:spacing w:after="0" w:lineRule="auto"/>
              <w:rPr>
                <w:rFonts w:ascii="Helvetica Neue" w:cs="Helvetica Neue" w:eastAsia="Helvetica Neue" w:hAnsi="Helvetica Neue"/>
                <w:sz w:val="21"/>
                <w:szCs w:val="2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300.0" w:type="dxa"/>
              <w:left w:w="0.0" w:type="dxa"/>
              <w:bottom w:w="300.0" w:type="dxa"/>
              <w:right w:w="0.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1"/>
                <w:szCs w:val="21"/>
              </w:rPr>
            </w:pPr>
            <w:r w:rsidDel="00000000" w:rsidR="00000000" w:rsidRPr="00000000">
              <w:rPr>
                <w:rtl w:val="0"/>
              </w:rPr>
            </w:r>
          </w:p>
          <w:tbl>
            <w:tblPr>
              <w:tblStyle w:val="Table9"/>
              <w:tblW w:w="8706.0" w:type="dxa"/>
              <w:jc w:val="left"/>
              <w:tblLayout w:type="fixed"/>
              <w:tblLook w:val="0400"/>
            </w:tblPr>
            <w:tblGrid>
              <w:gridCol w:w="8706"/>
              <w:tblGridChange w:id="0">
                <w:tblGrid>
                  <w:gridCol w:w="870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2250.0" w:type="dxa"/>
                    <w:bottom w:w="0.0" w:type="dxa"/>
                    <w:right w:w="2250.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1"/>
                      <w:szCs w:val="21"/>
                    </w:rPr>
                  </w:pPr>
                  <w:r w:rsidDel="00000000" w:rsidR="00000000" w:rsidRPr="00000000">
                    <w:rPr>
                      <w:rtl w:val="0"/>
                    </w:rPr>
                  </w:r>
                </w:p>
                <w:tbl>
                  <w:tblPr>
                    <w:tblStyle w:val="Table10"/>
                    <w:tblW w:w="4206.0" w:type="dxa"/>
                    <w:jc w:val="left"/>
                    <w:tblLayout w:type="fixed"/>
                    <w:tblLook w:val="0400"/>
                  </w:tblPr>
                  <w:tblGrid>
                    <w:gridCol w:w="4200"/>
                    <w:gridCol w:w="6"/>
                    <w:tblGridChange w:id="0">
                      <w:tblGrid>
                        <w:gridCol w:w="4200"/>
                        <w:gridCol w:w="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spacing w:after="0" w:lineRule="auto"/>
                          <w:jc w:val="cente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Pr>
                          <w:drawing>
                            <wp:inline distB="0" distT="0" distL="0" distR="0">
                              <wp:extent cx="2667000" cy="1466850"/>
                              <wp:effectExtent b="0" l="0" r="0" t="0"/>
                              <wp:docPr descr="https://ci6.googleusercontent.com/proxy/npmaWxQbdoITyAIZNiTq30FZIY173sOY8zGB76CW_XI8pBEwOj3eFud2rQAuWSC5rJd0_xiLp1PjjBmsVDk0Fo3Vs1O0UrDMgQnM-UbmBP9Ec48QJQ=s0-d-e1-ft#https://i.ontraport.com/27875.096647cfbaab4da8238a4cfaa8b7d7d5.PNG" id="1" name="image1.png"/>
                              <a:graphic>
                                <a:graphicData uri="http://schemas.openxmlformats.org/drawingml/2006/picture">
                                  <pic:pic>
                                    <pic:nvPicPr>
                                      <pic:cNvPr descr="https://ci6.googleusercontent.com/proxy/npmaWxQbdoITyAIZNiTq30FZIY173sOY8zGB76CW_XI8pBEwOj3eFud2rQAuWSC5rJd0_xiLp1PjjBmsVDk0Fo3Vs1O0UrDMgQnM-UbmBP9Ec48QJQ=s0-d-e1-ft#https://i.ontraport.com/27875.096647cfbaab4da8238a4cfaa8b7d7d5.PNG" id="0" name="image1.png"/>
                                      <pic:cNvPicPr preferRelativeResize="0"/>
                                    </pic:nvPicPr>
                                    <pic:blipFill>
                                      <a:blip r:embed="rId6"/>
                                      <a:srcRect b="0" l="0" r="0" t="0"/>
                                      <a:stretch>
                                        <a:fillRect/>
                                      </a:stretch>
                                    </pic:blipFill>
                                    <pic:spPr>
                                      <a:xfrm>
                                        <a:off x="0" y="0"/>
                                        <a:ext cx="2667000" cy="14668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150.0" w:type="dxa"/>
                          <w:right w:w="0.0" w:type="dxa"/>
                        </w:tcMar>
                      </w:tcPr>
                      <w:p w:rsidR="00000000" w:rsidDel="00000000" w:rsidP="00000000" w:rsidRDefault="00000000" w:rsidRPr="00000000" w14:paraId="00000019">
                        <w:pPr>
                          <w:spacing w:after="0" w:lineRule="auto"/>
                          <w:jc w:val="center"/>
                          <w:rPr>
                            <w:rFonts w:ascii="Helvetica Neue" w:cs="Helvetica Neue" w:eastAsia="Helvetica Neue" w:hAnsi="Helvetica Neue"/>
                            <w:sz w:val="21"/>
                            <w:szCs w:val="21"/>
                          </w:rPr>
                        </w:pPr>
                        <w:r w:rsidDel="00000000" w:rsidR="00000000" w:rsidRPr="00000000">
                          <w:rPr>
                            <w:rtl w:val="0"/>
                          </w:rPr>
                        </w:r>
                      </w:p>
                    </w:tc>
                  </w:tr>
                </w:tbl>
                <w:p w:rsidR="00000000" w:rsidDel="00000000" w:rsidP="00000000" w:rsidRDefault="00000000" w:rsidRPr="00000000" w14:paraId="0000001A">
                  <w:pPr>
                    <w:spacing w:after="0" w:lineRule="auto"/>
                    <w:rPr>
                      <w:rFonts w:ascii="Helvetica Neue" w:cs="Helvetica Neue" w:eastAsia="Helvetica Neue" w:hAnsi="Helvetica Neue"/>
                      <w:sz w:val="21"/>
                      <w:szCs w:val="21"/>
                    </w:rPr>
                  </w:pPr>
                  <w:r w:rsidDel="00000000" w:rsidR="00000000" w:rsidRPr="00000000">
                    <w:rPr>
                      <w:rtl w:val="0"/>
                    </w:rPr>
                  </w:r>
                </w:p>
              </w:tc>
            </w:tr>
          </w:tbl>
          <w:p w:rsidR="00000000" w:rsidDel="00000000" w:rsidP="00000000" w:rsidRDefault="00000000" w:rsidRPr="00000000" w14:paraId="0000001B">
            <w:pPr>
              <w:spacing w:after="0" w:lineRule="auto"/>
              <w:rPr>
                <w:rFonts w:ascii="Helvetica Neue" w:cs="Helvetica Neue" w:eastAsia="Helvetica Neue" w:hAnsi="Helvetica Neue"/>
                <w:sz w:val="21"/>
                <w:szCs w:val="21"/>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1"/>
          <w:szCs w:val="21"/>
        </w:rPr>
      </w:pPr>
      <w:r w:rsidDel="00000000" w:rsidR="00000000" w:rsidRPr="00000000">
        <w:rPr>
          <w:rtl w:val="0"/>
        </w:rPr>
      </w:r>
    </w:p>
    <w:tbl>
      <w:tblPr>
        <w:tblStyle w:val="Table11"/>
        <w:tblW w:w="8706.0" w:type="dxa"/>
        <w:jc w:val="left"/>
        <w:tblLayout w:type="fixed"/>
        <w:tblLook w:val="0400"/>
      </w:tblPr>
      <w:tblGrid>
        <w:gridCol w:w="8706"/>
        <w:tblGridChange w:id="0">
          <w:tblGrid>
            <w:gridCol w:w="870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300.0" w:type="dxa"/>
              <w:left w:w="0.0" w:type="dxa"/>
              <w:bottom w:w="300.0" w:type="dxa"/>
              <w:right w:w="0.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1"/>
                <w:szCs w:val="21"/>
              </w:rPr>
            </w:pPr>
            <w:r w:rsidDel="00000000" w:rsidR="00000000" w:rsidRPr="00000000">
              <w:rPr>
                <w:rtl w:val="0"/>
              </w:rPr>
            </w:r>
          </w:p>
          <w:tbl>
            <w:tblPr>
              <w:tblStyle w:val="Table12"/>
              <w:tblW w:w="8700.0" w:type="dxa"/>
              <w:jc w:val="left"/>
              <w:tblLayout w:type="fixed"/>
              <w:tblLook w:val="0400"/>
            </w:tblPr>
            <w:tblGrid>
              <w:gridCol w:w="8700"/>
              <w:tblGridChange w:id="0">
                <w:tblGrid>
                  <w:gridCol w:w="87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50.0" w:type="dxa"/>
                    <w:left w:w="0.0" w:type="dxa"/>
                    <w:bottom w:w="0.0" w:type="dxa"/>
                    <w:right w:w="0.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1"/>
                      <w:szCs w:val="21"/>
                    </w:rPr>
                  </w:pPr>
                  <w:r w:rsidDel="00000000" w:rsidR="00000000" w:rsidRPr="00000000">
                    <w:rPr>
                      <w:rtl w:val="0"/>
                    </w:rPr>
                  </w:r>
                </w:p>
                <w:tbl>
                  <w:tblPr>
                    <w:tblStyle w:val="Table13"/>
                    <w:tblW w:w="8700.0" w:type="dxa"/>
                    <w:jc w:val="left"/>
                    <w:tblLayout w:type="fixed"/>
                    <w:tblLook w:val="0400"/>
                  </w:tblPr>
                  <w:tblGrid>
                    <w:gridCol w:w="8694"/>
                    <w:gridCol w:w="6"/>
                    <w:tblGridChange w:id="0">
                      <w:tblGrid>
                        <w:gridCol w:w="8694"/>
                        <w:gridCol w:w="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50.0" w:type="dxa"/>
                          <w:bottom w:w="150.0" w:type="dxa"/>
                          <w:right w:w="150.0" w:type="dxa"/>
                        </w:tcMar>
                      </w:tcPr>
                      <w:p w:rsidR="00000000" w:rsidDel="00000000" w:rsidP="00000000" w:rsidRDefault="00000000" w:rsidRPr="00000000" w14:paraId="0000001F">
                        <w:pPr>
                          <w:spacing w:after="150" w:lineRule="auto"/>
                          <w:rPr>
                            <w:rFonts w:ascii="Helvetica Neue" w:cs="Helvetica Neue" w:eastAsia="Helvetica Neue" w:hAnsi="Helvetica Neue"/>
                            <w:color w:val="e87427"/>
                            <w:sz w:val="21"/>
                            <w:szCs w:val="21"/>
                          </w:rPr>
                        </w:pPr>
                        <w:r w:rsidDel="00000000" w:rsidR="00000000" w:rsidRPr="00000000">
                          <w:rPr>
                            <w:rFonts w:ascii="Trebuchet MS" w:cs="Trebuchet MS" w:eastAsia="Trebuchet MS" w:hAnsi="Trebuchet MS"/>
                            <w:color w:val="000000"/>
                            <w:sz w:val="27"/>
                            <w:szCs w:val="27"/>
                            <w:rtl w:val="0"/>
                          </w:rPr>
                          <w:t xml:space="preserve">And in this one, we have six endogenous variables: M₁, a₁, a₂, a₃, Y, and M₂.</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150.0" w:type="dxa"/>
                          <w:right w:w="0.0" w:type="dxa"/>
                        </w:tcMar>
                      </w:tcPr>
                      <w:p w:rsidR="00000000" w:rsidDel="00000000" w:rsidP="00000000" w:rsidRDefault="00000000" w:rsidRPr="00000000" w14:paraId="00000020">
                        <w:pPr>
                          <w:spacing w:after="0" w:lineRule="auto"/>
                          <w:rPr>
                            <w:rFonts w:ascii="Helvetica Neue" w:cs="Helvetica Neue" w:eastAsia="Helvetica Neue" w:hAnsi="Helvetica Neue"/>
                            <w:color w:val="e87427"/>
                            <w:sz w:val="21"/>
                            <w:szCs w:val="21"/>
                          </w:rPr>
                        </w:pPr>
                        <w:r w:rsidDel="00000000" w:rsidR="00000000" w:rsidRPr="00000000">
                          <w:rPr>
                            <w:rtl w:val="0"/>
                          </w:rPr>
                        </w:r>
                      </w:p>
                    </w:tc>
                  </w:tr>
                </w:tbl>
                <w:p w:rsidR="00000000" w:rsidDel="00000000" w:rsidP="00000000" w:rsidRDefault="00000000" w:rsidRPr="00000000" w14:paraId="00000021">
                  <w:pPr>
                    <w:spacing w:after="0" w:lineRule="auto"/>
                    <w:rPr>
                      <w:rFonts w:ascii="Helvetica Neue" w:cs="Helvetica Neue" w:eastAsia="Helvetica Neue" w:hAnsi="Helvetica Neue"/>
                      <w:sz w:val="21"/>
                      <w:szCs w:val="21"/>
                    </w:rPr>
                  </w:pPr>
                  <w:r w:rsidDel="00000000" w:rsidR="00000000" w:rsidRPr="00000000">
                    <w:rPr>
                      <w:rtl w:val="0"/>
                    </w:rPr>
                  </w:r>
                </w:p>
              </w:tc>
            </w:tr>
          </w:tbl>
          <w:p w:rsidR="00000000" w:rsidDel="00000000" w:rsidP="00000000" w:rsidRDefault="00000000" w:rsidRPr="00000000" w14:paraId="00000022">
            <w:pPr>
              <w:spacing w:after="0" w:lineRule="auto"/>
              <w:rPr>
                <w:rFonts w:ascii="Helvetica Neue" w:cs="Helvetica Neue" w:eastAsia="Helvetica Neue" w:hAnsi="Helvetica Neue"/>
                <w:sz w:val="21"/>
                <w:szCs w:val="2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300.0" w:type="dxa"/>
              <w:left w:w="0.0" w:type="dxa"/>
              <w:bottom w:w="300.0" w:type="dxa"/>
              <w:right w:w="0.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1"/>
                <w:szCs w:val="21"/>
              </w:rPr>
            </w:pPr>
            <w:r w:rsidDel="00000000" w:rsidR="00000000" w:rsidRPr="00000000">
              <w:rPr>
                <w:rtl w:val="0"/>
              </w:rPr>
            </w:r>
          </w:p>
          <w:tbl>
            <w:tblPr>
              <w:tblStyle w:val="Table14"/>
              <w:tblW w:w="8706.0" w:type="dxa"/>
              <w:jc w:val="left"/>
              <w:tblLayout w:type="fixed"/>
              <w:tblLook w:val="0400"/>
            </w:tblPr>
            <w:tblGrid>
              <w:gridCol w:w="8706"/>
              <w:tblGridChange w:id="0">
                <w:tblGrid>
                  <w:gridCol w:w="870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2250.0" w:type="dxa"/>
                    <w:bottom w:w="0.0" w:type="dxa"/>
                    <w:right w:w="2250.0" w:type="dxa"/>
                  </w:tcM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1"/>
                      <w:szCs w:val="21"/>
                    </w:rPr>
                  </w:pPr>
                  <w:r w:rsidDel="00000000" w:rsidR="00000000" w:rsidRPr="00000000">
                    <w:rPr>
                      <w:rtl w:val="0"/>
                    </w:rPr>
                  </w:r>
                </w:p>
                <w:tbl>
                  <w:tblPr>
                    <w:tblStyle w:val="Table15"/>
                    <w:tblW w:w="4206.0" w:type="dxa"/>
                    <w:jc w:val="left"/>
                    <w:tblLayout w:type="fixed"/>
                    <w:tblLook w:val="0400"/>
                  </w:tblPr>
                  <w:tblGrid>
                    <w:gridCol w:w="4200"/>
                    <w:gridCol w:w="6"/>
                    <w:tblGridChange w:id="0">
                      <w:tblGrid>
                        <w:gridCol w:w="4200"/>
                        <w:gridCol w:w="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spacing w:after="0" w:lineRule="auto"/>
                          <w:jc w:val="cente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Pr>
                          <w:drawing>
                            <wp:inline distB="0" distT="0" distL="0" distR="0">
                              <wp:extent cx="2667000" cy="2076450"/>
                              <wp:effectExtent b="0" l="0" r="0" t="0"/>
                              <wp:docPr descr="https://ci5.googleusercontent.com/proxy/FUq_DtAP_3lWfdS7b-R0gURrMiTumsU8Q_kdiDyQeMXyRRACCBFvcwdyRf-zYG1TDWjFBxqnr7LxJWez2udHcQ_QOyiKp400ytjX5HEUB4cDGsORUQ=s0-d-e1-ft#https://i.ontraport.com/27875.cf6e09aff7068fb0aea7fc5b8549e94f.PNG" id="2" name="image2.png"/>
                              <a:graphic>
                                <a:graphicData uri="http://schemas.openxmlformats.org/drawingml/2006/picture">
                                  <pic:pic>
                                    <pic:nvPicPr>
                                      <pic:cNvPr descr="https://ci5.googleusercontent.com/proxy/FUq_DtAP_3lWfdS7b-R0gURrMiTumsU8Q_kdiDyQeMXyRRACCBFvcwdyRf-zYG1TDWjFBxqnr7LxJWez2udHcQ_QOyiKp400ytjX5HEUB4cDGsORUQ=s0-d-e1-ft#https://i.ontraport.com/27875.cf6e09aff7068fb0aea7fc5b8549e94f.PNG" id="0" name="image2.png"/>
                                      <pic:cNvPicPr preferRelativeResize="0"/>
                                    </pic:nvPicPr>
                                    <pic:blipFill>
                                      <a:blip r:embed="rId7"/>
                                      <a:srcRect b="0" l="0" r="0" t="0"/>
                                      <a:stretch>
                                        <a:fillRect/>
                                      </a:stretch>
                                    </pic:blipFill>
                                    <pic:spPr>
                                      <a:xfrm>
                                        <a:off x="0" y="0"/>
                                        <a:ext cx="2667000" cy="20764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150.0" w:type="dxa"/>
                          <w:right w:w="0.0" w:type="dxa"/>
                        </w:tcMar>
                      </w:tcPr>
                      <w:p w:rsidR="00000000" w:rsidDel="00000000" w:rsidP="00000000" w:rsidRDefault="00000000" w:rsidRPr="00000000" w14:paraId="00000026">
                        <w:pPr>
                          <w:spacing w:after="0" w:lineRule="auto"/>
                          <w:jc w:val="center"/>
                          <w:rPr>
                            <w:rFonts w:ascii="Helvetica Neue" w:cs="Helvetica Neue" w:eastAsia="Helvetica Neue" w:hAnsi="Helvetica Neue"/>
                            <w:sz w:val="21"/>
                            <w:szCs w:val="21"/>
                          </w:rPr>
                        </w:pPr>
                        <w:r w:rsidDel="00000000" w:rsidR="00000000" w:rsidRPr="00000000">
                          <w:rPr>
                            <w:rtl w:val="0"/>
                          </w:rPr>
                        </w:r>
                      </w:p>
                    </w:tc>
                  </w:tr>
                </w:tbl>
                <w:p w:rsidR="00000000" w:rsidDel="00000000" w:rsidP="00000000" w:rsidRDefault="00000000" w:rsidRPr="00000000" w14:paraId="00000027">
                  <w:pPr>
                    <w:spacing w:after="0" w:lineRule="auto"/>
                    <w:rPr>
                      <w:rFonts w:ascii="Helvetica Neue" w:cs="Helvetica Neue" w:eastAsia="Helvetica Neue" w:hAnsi="Helvetica Neue"/>
                      <w:sz w:val="21"/>
                      <w:szCs w:val="21"/>
                    </w:rPr>
                  </w:pPr>
                  <w:r w:rsidDel="00000000" w:rsidR="00000000" w:rsidRPr="00000000">
                    <w:rPr>
                      <w:rtl w:val="0"/>
                    </w:rPr>
                  </w:r>
                </w:p>
              </w:tc>
            </w:tr>
          </w:tbl>
          <w:p w:rsidR="00000000" w:rsidDel="00000000" w:rsidP="00000000" w:rsidRDefault="00000000" w:rsidRPr="00000000" w14:paraId="00000028">
            <w:pPr>
              <w:spacing w:after="0" w:lineRule="auto"/>
              <w:rPr>
                <w:rFonts w:ascii="Helvetica Neue" w:cs="Helvetica Neue" w:eastAsia="Helvetica Neue" w:hAnsi="Helvetica Neue"/>
                <w:sz w:val="21"/>
                <w:szCs w:val="21"/>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1"/>
          <w:szCs w:val="21"/>
        </w:rPr>
      </w:pPr>
      <w:r w:rsidDel="00000000" w:rsidR="00000000" w:rsidRPr="00000000">
        <w:rPr>
          <w:rtl w:val="0"/>
        </w:rPr>
      </w:r>
    </w:p>
    <w:tbl>
      <w:tblPr>
        <w:tblStyle w:val="Table16"/>
        <w:tblW w:w="8700.0" w:type="dxa"/>
        <w:jc w:val="left"/>
        <w:tblLayout w:type="fixed"/>
        <w:tblLook w:val="0400"/>
      </w:tblPr>
      <w:tblGrid>
        <w:gridCol w:w="8700"/>
        <w:tblGridChange w:id="0">
          <w:tblGrid>
            <w:gridCol w:w="87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300.0" w:type="dxa"/>
              <w:left w:w="0.0" w:type="dxa"/>
              <w:bottom w:w="300.0" w:type="dxa"/>
              <w:right w:w="0.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1"/>
                <w:szCs w:val="21"/>
              </w:rPr>
            </w:pPr>
            <w:r w:rsidDel="00000000" w:rsidR="00000000" w:rsidRPr="00000000">
              <w:rPr>
                <w:rtl w:val="0"/>
              </w:rPr>
            </w:r>
          </w:p>
          <w:tbl>
            <w:tblPr>
              <w:tblStyle w:val="Table17"/>
              <w:tblW w:w="8700.0" w:type="dxa"/>
              <w:jc w:val="left"/>
              <w:tblLayout w:type="fixed"/>
              <w:tblLook w:val="0400"/>
            </w:tblPr>
            <w:tblGrid>
              <w:gridCol w:w="8700"/>
              <w:tblGridChange w:id="0">
                <w:tblGrid>
                  <w:gridCol w:w="87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50.0" w:type="dxa"/>
                    <w:left w:w="0.0" w:type="dxa"/>
                    <w:bottom w:w="0.0" w:type="dxa"/>
                    <w:right w:w="0.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1"/>
                      <w:szCs w:val="21"/>
                    </w:rPr>
                  </w:pPr>
                  <w:r w:rsidDel="00000000" w:rsidR="00000000" w:rsidRPr="00000000">
                    <w:rPr>
                      <w:rtl w:val="0"/>
                    </w:rPr>
                  </w:r>
                </w:p>
                <w:tbl>
                  <w:tblPr>
                    <w:tblStyle w:val="Table18"/>
                    <w:tblW w:w="8700.0" w:type="dxa"/>
                    <w:jc w:val="left"/>
                    <w:tblLayout w:type="fixed"/>
                    <w:tblLook w:val="0400"/>
                  </w:tblPr>
                  <w:tblGrid>
                    <w:gridCol w:w="8700"/>
                    <w:tblGridChange w:id="0">
                      <w:tblGrid>
                        <w:gridCol w:w="87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50.0" w:type="dxa"/>
                          <w:bottom w:w="150.0" w:type="dxa"/>
                          <w:right w:w="150.0" w:type="dxa"/>
                        </w:tcMar>
                      </w:tcPr>
                      <w:p w:rsidR="00000000" w:rsidDel="00000000" w:rsidP="00000000" w:rsidRDefault="00000000" w:rsidRPr="00000000" w14:paraId="0000002C">
                        <w:pPr>
                          <w:spacing w:after="150" w:lineRule="auto"/>
                          <w:rPr>
                            <w:rFonts w:ascii="Helvetica Neue" w:cs="Helvetica Neue" w:eastAsia="Helvetica Neue" w:hAnsi="Helvetica Neue"/>
                            <w:color w:val="e87427"/>
                            <w:sz w:val="21"/>
                            <w:szCs w:val="21"/>
                          </w:rPr>
                        </w:pPr>
                        <w:r w:rsidDel="00000000" w:rsidR="00000000" w:rsidRPr="00000000">
                          <w:rPr>
                            <w:rFonts w:ascii="Trebuchet MS" w:cs="Trebuchet MS" w:eastAsia="Trebuchet MS" w:hAnsi="Trebuchet MS"/>
                            <w:color w:val="000000"/>
                            <w:sz w:val="27"/>
                            <w:szCs w:val="27"/>
                            <w:rtl w:val="0"/>
                          </w:rPr>
                          <w:t xml:space="preserve">Exogenous variables are never, ever response variables. They can be correlated with other variables, so have one end of a two-headed arrow pointed toward them. But never a one-headed arrow.</w:t>
                        </w:r>
                        <w:r w:rsidDel="00000000" w:rsidR="00000000" w:rsidRPr="00000000">
                          <w:rPr>
                            <w:rFonts w:ascii="Trebuchet MS" w:cs="Trebuchet MS" w:eastAsia="Trebuchet MS" w:hAnsi="Trebuchet MS"/>
                            <w:color w:val="e87427"/>
                            <w:sz w:val="27"/>
                            <w:szCs w:val="27"/>
                            <w:rtl w:val="0"/>
                          </w:rPr>
                          <w:br w:type="textWrapping"/>
                          <w:br w:type="textWrapping"/>
                        </w:r>
                        <w:r w:rsidDel="00000000" w:rsidR="00000000" w:rsidRPr="00000000">
                          <w:rPr>
                            <w:rFonts w:ascii="Trebuchet MS" w:cs="Trebuchet MS" w:eastAsia="Trebuchet MS" w:hAnsi="Trebuchet MS"/>
                            <w:color w:val="e87427"/>
                            <w:sz w:val="38"/>
                            <w:szCs w:val="38"/>
                            <w:rtl w:val="0"/>
                          </w:rPr>
                          <w:t xml:space="preserve">Why this difference matters</w:t>
                        </w:r>
                        <w:r w:rsidDel="00000000" w:rsidR="00000000" w:rsidRPr="00000000">
                          <w:rPr>
                            <w:rFonts w:ascii="Helvetica Neue" w:cs="Helvetica Neue" w:eastAsia="Helvetica Neue" w:hAnsi="Helvetica Neue"/>
                            <w:color w:val="e87427"/>
                            <w:sz w:val="21"/>
                            <w:szCs w:val="21"/>
                            <w:rtl w:val="0"/>
                          </w:rPr>
                          <w:br w:type="textWrapping"/>
                          <w:br w:type="textWrapping"/>
                        </w:r>
                        <w:r w:rsidDel="00000000" w:rsidR="00000000" w:rsidRPr="00000000">
                          <w:rPr>
                            <w:rFonts w:ascii="Trebuchet MS" w:cs="Trebuchet MS" w:eastAsia="Trebuchet MS" w:hAnsi="Trebuchet MS"/>
                            <w:color w:val="000000"/>
                            <w:sz w:val="27"/>
                            <w:szCs w:val="27"/>
                            <w:rtl w:val="0"/>
                          </w:rPr>
                          <w:t xml:space="preserve">When you make a variable exogenous, you’re assuming there are no other variables causing or affecting that variable. This is a particularly important assumption if you’re making any causal inferences. This can be easy to assume for some variables, like treatments with random assignment or some demographic variables, (like age) but something to consider carefully with observed variables.</w:t>
                          <w:br w:type="textWrapping"/>
                          <w:br w:type="textWrapping"/>
                          <w:t xml:space="preserve">The big structural difference between exogenous and endogenous variables is endogenous variables have error terms. In other words, we’re stating that their value is affected by two different things:</w:t>
                          <w:br w:type="textWrapping"/>
                          <w:t xml:space="preserve">1. Other variables, as represented by the arrows pointing to them.</w:t>
                          <w:br w:type="textWrapping"/>
                          <w:t xml:space="preserve">2. Random unexplained variance, as represented by the error term.</w:t>
                        </w:r>
                        <w:r w:rsidDel="00000000" w:rsidR="00000000" w:rsidRPr="00000000">
                          <w:rPr>
                            <w:rFonts w:ascii="Helvetica Neue" w:cs="Helvetica Neue" w:eastAsia="Helvetica Neue" w:hAnsi="Helvetica Neue"/>
                            <w:color w:val="e87427"/>
                            <w:sz w:val="21"/>
                            <w:szCs w:val="21"/>
                            <w:rtl w:val="0"/>
                          </w:rPr>
                          <w:br w:type="textWrapping"/>
                          <w:br w:type="textWrapping"/>
                        </w:r>
                        <w:r w:rsidDel="00000000" w:rsidR="00000000" w:rsidRPr="00000000">
                          <w:rPr>
                            <w:rFonts w:ascii="Trebuchet MS" w:cs="Trebuchet MS" w:eastAsia="Trebuchet MS" w:hAnsi="Trebuchet MS"/>
                            <w:color w:val="000000"/>
                            <w:sz w:val="27"/>
                            <w:szCs w:val="27"/>
                            <w:rtl w:val="0"/>
                          </w:rPr>
                          <w:t xml:space="preserve">Exogenous variables don’t have error terms. This means you’re also assuming they’re measured without error. Again, that’s a pretty easy assumption for some variables, like whether someone received the treatment or a placebo. It’s a harder assumption to make for others, like income.</w:t>
                          <w:br w:type="textWrapping"/>
                          <w:br w:type="textWrapping"/>
                          <w:t xml:space="preserve">So it’s important for the model, and for you, the modeler, to know whether a variable is exogenous or endogenous. If it’s endogenous, there will be a parameter estimate for the variable’s error variance. If it’s exogenous, there won’t be.</w:t>
                          <w:br w:type="textWrapping"/>
                          <w:br w:type="textWrapping"/>
                          <w:t xml:space="preserve">Very often, SEM models are often written without these error terms. It’s a shortcut that people use who know there should be an error term there and don’t want to clutter up the diagram.</w:t>
                          <w:br w:type="textWrapping"/>
                          <w:br w:type="textWrapping"/>
                          <w:t xml:space="preserve">If you’re still learning SEM, or presenting a model to others who are still learning SEM, I recommend always putting the error terms in. Just for the sake of clarity. If you’re reading someone else’s model, whether that error variance is there or implied, you can always count on the arrows. </w:t>
                        </w:r>
                        <w:r w:rsidDel="00000000" w:rsidR="00000000" w:rsidRPr="00000000">
                          <w:rPr>
                            <w:rtl w:val="0"/>
                          </w:rPr>
                        </w:r>
                      </w:p>
                    </w:tc>
                  </w:tr>
                </w:tbl>
                <w:p w:rsidR="00000000" w:rsidDel="00000000" w:rsidP="00000000" w:rsidRDefault="00000000" w:rsidRPr="00000000" w14:paraId="0000002D">
                  <w:pPr>
                    <w:spacing w:after="0" w:lineRule="auto"/>
                    <w:rPr>
                      <w:rFonts w:ascii="Helvetica Neue" w:cs="Helvetica Neue" w:eastAsia="Helvetica Neue" w:hAnsi="Helvetica Neue"/>
                      <w:sz w:val="21"/>
                      <w:szCs w:val="21"/>
                    </w:rPr>
                  </w:pPr>
                  <w:r w:rsidDel="00000000" w:rsidR="00000000" w:rsidRPr="00000000">
                    <w:rPr>
                      <w:rtl w:val="0"/>
                    </w:rPr>
                  </w:r>
                </w:p>
              </w:tc>
            </w:tr>
          </w:tbl>
          <w:p w:rsidR="00000000" w:rsidDel="00000000" w:rsidP="00000000" w:rsidRDefault="00000000" w:rsidRPr="00000000" w14:paraId="0000002E">
            <w:pPr>
              <w:spacing w:after="0" w:lineRule="auto"/>
              <w:rPr>
                <w:rFonts w:ascii="Helvetica Neue" w:cs="Helvetica Neue" w:eastAsia="Helvetica Neue" w:hAnsi="Helvetica Neue"/>
                <w:sz w:val="21"/>
                <w:szCs w:val="21"/>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rebuchet MS"/>
  <w:font w:name="Helvetica Neu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