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240" w:lineRule="auto"/>
        <w:rPr>
          <w:rFonts w:ascii="Arial" w:cs="Arial" w:eastAsia="Arial" w:hAnsi="Arial"/>
          <w:color w:val="e87427"/>
          <w:sz w:val="45"/>
          <w:szCs w:val="45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e87427"/>
          <w:sz w:val="45"/>
          <w:szCs w:val="45"/>
          <w:rtl w:val="0"/>
        </w:rPr>
        <w:t xml:space="preserve">Five things you need to know before learning Structural Equation Modeling</w:t>
      </w:r>
    </w:p>
    <w:p w:rsidR="00000000" w:rsidDel="00000000" w:rsidP="00000000" w:rsidRDefault="00000000" w:rsidRPr="00000000" w14:paraId="00000002">
      <w:pPr>
        <w:spacing w:after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73e5"/>
            <w:sz w:val="24"/>
            <w:szCs w:val="24"/>
            <w:u w:val="single"/>
            <w:rtl w:val="0"/>
          </w:rPr>
          <w:t xml:space="preserve">guest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73e5"/>
            <w:sz w:val="24"/>
            <w:szCs w:val="24"/>
            <w:u w:val="single"/>
            <w:rtl w:val="0"/>
          </w:rPr>
          <w:t xml:space="preserve">1 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50" w:line="240" w:lineRule="auto"/>
        <w:jc w:val="center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7"/>
          <w:szCs w:val="27"/>
          <w:rtl w:val="0"/>
        </w:rPr>
        <w:t xml:space="preserve">By Manolo Romero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If you already know the principles of general linear modeling (GLM) you are on the right path to understand Structural Equation Modeling (SEM).</w:t>
      </w:r>
    </w:p>
    <w:p w:rsidR="00000000" w:rsidDel="00000000" w:rsidP="00000000" w:rsidRDefault="00000000" w:rsidRPr="00000000" w14:paraId="00000005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As you could see from my </w:t>
      </w:r>
      <w:hyperlink r:id="rId8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previous post,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SEM offers the flexibility of adding paths between predictors in a way that would take you several GLM models and still leave you with unanswered questions.</w:t>
      </w:r>
    </w:p>
    <w:p w:rsidR="00000000" w:rsidDel="00000000" w:rsidP="00000000" w:rsidRDefault="00000000" w:rsidRPr="00000000" w14:paraId="00000006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It also helps you use latent variables (as you will see in future posts).</w:t>
      </w:r>
    </w:p>
    <w:p w:rsidR="00000000" w:rsidDel="00000000" w:rsidP="00000000" w:rsidRDefault="00000000" w:rsidRPr="00000000" w14:paraId="00000007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GLM is just one of the pieces of the puzzle to fit SEM to your data. You also need to have an understanding of:</w:t>
        <w:br w:type="textWrapping"/>
      </w:r>
    </w:p>
    <w:p w:rsidR="00000000" w:rsidDel="00000000" w:rsidP="00000000" w:rsidRDefault="00000000" w:rsidRPr="00000000" w14:paraId="00000008">
      <w:pPr>
        <w:shd w:fill="ffffff" w:val="clear"/>
        <w:spacing w:after="300" w:before="600" w:line="240" w:lineRule="auto"/>
        <w:rPr>
          <w:rFonts w:ascii="Arial" w:cs="Arial" w:eastAsia="Arial" w:hAnsi="Arial"/>
          <w:b w:val="1"/>
          <w:color w:val="a2b52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a2b525"/>
          <w:sz w:val="30"/>
          <w:szCs w:val="30"/>
          <w:rtl w:val="0"/>
        </w:rPr>
        <w:t xml:space="preserve">1. Substantive knowledge</w:t>
      </w:r>
    </w:p>
    <w:p w:rsidR="00000000" w:rsidDel="00000000" w:rsidP="00000000" w:rsidRDefault="00000000" w:rsidRPr="00000000" w14:paraId="00000009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You must understand your research domain.</w:t>
      </w:r>
    </w:p>
    <w:p w:rsidR="00000000" w:rsidDel="00000000" w:rsidP="00000000" w:rsidRDefault="00000000" w:rsidRPr="00000000" w14:paraId="0000000A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No consultant or statistician would master the constructs and theories as well as you do.</w:t>
      </w:r>
    </w:p>
    <w:p w:rsidR="00000000" w:rsidDel="00000000" w:rsidP="00000000" w:rsidRDefault="00000000" w:rsidRPr="00000000" w14:paraId="0000000B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The numbers don’t remember where they come from, as Lord said. But you need to know where you want to take them to.</w:t>
      </w:r>
    </w:p>
    <w:p w:rsidR="00000000" w:rsidDel="00000000" w:rsidP="00000000" w:rsidRDefault="00000000" w:rsidRPr="00000000" w14:paraId="0000000C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At the end of the day, the winning model among equally good fitting ones may be the one that 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7"/>
          <w:szCs w:val="27"/>
          <w:rtl w:val="0"/>
        </w:rPr>
        <w:t xml:space="preserve">makes more sense in terms of the theory behind it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before="600" w:line="240" w:lineRule="auto"/>
        <w:rPr>
          <w:rFonts w:ascii="Arial" w:cs="Arial" w:eastAsia="Arial" w:hAnsi="Arial"/>
          <w:b w:val="1"/>
          <w:color w:val="a2b52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a2b525"/>
          <w:sz w:val="30"/>
          <w:szCs w:val="30"/>
          <w:rtl w:val="0"/>
        </w:rPr>
        <w:t xml:space="preserve">2. Interpretation of coefficients in multiple regression</w:t>
      </w:r>
    </w:p>
    <w:p w:rsidR="00000000" w:rsidDel="00000000" w:rsidP="00000000" w:rsidRDefault="00000000" w:rsidRPr="00000000" w14:paraId="0000000E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Yes, it is part of GLM, so you already know this.</w:t>
      </w:r>
    </w:p>
    <w:p w:rsidR="00000000" w:rsidDel="00000000" w:rsidP="00000000" w:rsidRDefault="00000000" w:rsidRPr="00000000" w14:paraId="0000000F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However, it doesn’t hurt to brush up on how to interpret </w:t>
      </w:r>
      <w:hyperlink r:id="rId9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standardized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and </w:t>
      </w:r>
      <w:hyperlink r:id="rId10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unstandardized regression coefficients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 You’ll use both often.</w:t>
      </w:r>
    </w:p>
    <w:p w:rsidR="00000000" w:rsidDel="00000000" w:rsidP="00000000" w:rsidRDefault="00000000" w:rsidRPr="00000000" w14:paraId="00000010">
      <w:pPr>
        <w:shd w:fill="ffffff" w:val="clear"/>
        <w:spacing w:after="300" w:before="600" w:line="240" w:lineRule="auto"/>
        <w:rPr>
          <w:rFonts w:ascii="Arial" w:cs="Arial" w:eastAsia="Arial" w:hAnsi="Arial"/>
          <w:b w:val="1"/>
          <w:color w:val="a2b52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a2b525"/>
          <w:sz w:val="30"/>
          <w:szCs w:val="30"/>
          <w:rtl w:val="0"/>
        </w:rPr>
        <w:t xml:space="preserve">3. Statistical tests and significance</w:t>
      </w:r>
    </w:p>
    <w:p w:rsidR="00000000" w:rsidDel="00000000" w:rsidP="00000000" w:rsidRDefault="00000000" w:rsidRPr="00000000" w14:paraId="00000011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The technical aspect, at least. Mainly that if you divide any statistic by its standard error you get a ratio that can be interpreted as a t-test.</w:t>
      </w:r>
    </w:p>
    <w:p w:rsidR="00000000" w:rsidDel="00000000" w:rsidP="00000000" w:rsidRDefault="00000000" w:rsidRPr="00000000" w14:paraId="00000012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Software will provide you with the estimate of the statistic and their standard errors, and their p-values. It’s better if you have an idea of where those p-values come from. Also, go back to your notes on intro to stats about </w:t>
      </w:r>
      <w:hyperlink r:id="rId11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chi-square tests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before="600" w:line="240" w:lineRule="auto"/>
        <w:rPr>
          <w:rFonts w:ascii="Arial" w:cs="Arial" w:eastAsia="Arial" w:hAnsi="Arial"/>
          <w:b w:val="1"/>
          <w:color w:val="a2b52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a2b525"/>
          <w:sz w:val="30"/>
          <w:szCs w:val="30"/>
          <w:rtl w:val="0"/>
        </w:rPr>
        <w:t xml:space="preserve">4. Data screening</w:t>
      </w:r>
    </w:p>
    <w:p w:rsidR="00000000" w:rsidDel="00000000" w:rsidP="00000000" w:rsidRDefault="00000000" w:rsidRPr="00000000" w14:paraId="00000014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You may want to jump the gun on running SEM on your 1000-case data set. You had better stop and check for multivariate </w:t>
      </w:r>
      <w:hyperlink r:id="rId12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normality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Easier said than done when you have 20 indicators. But even a simple sanity check on the data can save you much frustration in the long run.</w:t>
      </w:r>
    </w:p>
    <w:p w:rsidR="00000000" w:rsidDel="00000000" w:rsidP="00000000" w:rsidRDefault="00000000" w:rsidRPr="00000000" w14:paraId="00000016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Always scan for wrongly coded </w:t>
      </w:r>
      <w:hyperlink r:id="rId13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missing values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and </w:t>
      </w:r>
      <w:hyperlink r:id="rId14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out of range cases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A quick look at the matrix of correlations can also give you hints on where potential problems you will find when fitting your model.</w:t>
      </w:r>
    </w:p>
    <w:p w:rsidR="00000000" w:rsidDel="00000000" w:rsidP="00000000" w:rsidRDefault="00000000" w:rsidRPr="00000000" w14:paraId="00000018">
      <w:pPr>
        <w:shd w:fill="ffffff" w:val="clear"/>
        <w:spacing w:after="300" w:before="600" w:line="240" w:lineRule="auto"/>
        <w:rPr>
          <w:rFonts w:ascii="Arial" w:cs="Arial" w:eastAsia="Arial" w:hAnsi="Arial"/>
          <w:b w:val="1"/>
          <w:color w:val="a2b52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a2b525"/>
          <w:sz w:val="30"/>
          <w:szCs w:val="30"/>
          <w:rtl w:val="0"/>
        </w:rPr>
        <w:t xml:space="preserve">5. The effect of sample size</w:t>
      </w:r>
    </w:p>
    <w:p w:rsidR="00000000" w:rsidDel="00000000" w:rsidP="00000000" w:rsidRDefault="00000000" w:rsidRPr="00000000" w14:paraId="00000019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You will find many rules of thumb about how many cases by factors you need for different SEM models.</w:t>
      </w:r>
    </w:p>
    <w:p w:rsidR="00000000" w:rsidDel="00000000" w:rsidP="00000000" w:rsidRDefault="00000000" w:rsidRPr="00000000" w14:paraId="0000001A">
      <w:pPr>
        <w:shd w:fill="ffffff" w:val="clear"/>
        <w:spacing w:after="450" w:line="240" w:lineRule="auto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The truth is, until you have collected the data you will not know if it is sufficient. The reason being that well behaved data makes estimation easier even in small </w:t>
      </w:r>
      <w:hyperlink r:id="rId15">
        <w:r w:rsidDel="00000000" w:rsidR="00000000" w:rsidRPr="00000000">
          <w:rPr>
            <w:rFonts w:ascii="Arial" w:cs="Arial" w:eastAsia="Arial" w:hAnsi="Arial"/>
            <w:color w:val="0073e5"/>
            <w:sz w:val="27"/>
            <w:szCs w:val="27"/>
            <w:u w:val="single"/>
            <w:rtl w:val="0"/>
          </w:rPr>
          <w:t xml:space="preserve">sample sizes</w:t>
        </w:r>
      </w:hyperlink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eanalysisfactor.com/difference-between-chi-square-test-and-mcnemar-test/" TargetMode="External"/><Relationship Id="rId10" Type="http://schemas.openxmlformats.org/officeDocument/2006/relationships/hyperlink" Target="https://www.theanalysisfactor.com/video-interpreting-linear-regression-coefficients-walk-through-output/" TargetMode="External"/><Relationship Id="rId13" Type="http://schemas.openxmlformats.org/officeDocument/2006/relationships/hyperlink" Target="http://thecraftofstatisticalanalysis.com/approaches-missing-data" TargetMode="External"/><Relationship Id="rId12" Type="http://schemas.openxmlformats.org/officeDocument/2006/relationships/hyperlink" Target="https://www.theanalysisfactor.com/anatomy-of-a-normal-probability-plo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analysisfactor.com/how-to-get-standardized-regression-coefficients/" TargetMode="External"/><Relationship Id="rId15" Type="http://schemas.openxmlformats.org/officeDocument/2006/relationships/hyperlink" Target="https://www.theanalysisfactor.com/resources/by-topic/effect-size-statistics-power-and-sample-size-calculations/" TargetMode="External"/><Relationship Id="rId14" Type="http://schemas.openxmlformats.org/officeDocument/2006/relationships/hyperlink" Target="https://www.theanalysisfactor.com/outliers-to-drop-or-not-to-dr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analysisfactor.com/author/guest/" TargetMode="External"/><Relationship Id="rId7" Type="http://schemas.openxmlformats.org/officeDocument/2006/relationships/hyperlink" Target="https://www.theanalysisfactor.com/five-things-you-need-to-know-before-learning-structural-equation-modeling/#comments" TargetMode="External"/><Relationship Id="rId8" Type="http://schemas.openxmlformats.org/officeDocument/2006/relationships/hyperlink" Target="https://www.theanalysisfactor.com/why-need-knowledge-of-multiple-regression-to-understand-s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