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25"/>
        <w:gridCol w:w="3255"/>
        <w:tblGridChange w:id="0">
          <w:tblGrid>
            <w:gridCol w:w="3240"/>
            <w:gridCol w:w="3240"/>
            <w:gridCol w:w="3225"/>
            <w:gridCol w:w="32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 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-Legal Attorney Robert J Taylor. Employee Directory 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z w:val="20"/>
                <w:szCs w:val="20"/>
                <w:shd w:fill="fdfcfb" w:val="clear"/>
                <w:rtl w:val="0"/>
              </w:rPr>
              <w:t xml:space="preserve">152.207.255.255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720" w:firstLine="0"/>
              <w:rPr>
                <w:i w:val="1"/>
                <w:sz w:val="20"/>
                <w:szCs w:val="20"/>
                <w:shd w:fill="fdfc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Event Occurred October 3rd, 2023. 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08:29:57 HRS 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COMPUTER - DEVICE NAME - Up2-NoGud - Malicious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Legal/Administrator. 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Contractor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 should not be active as the user is listed as a CONTRACTOR.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Account: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Started 9/4/2019.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End Date 12/27/2019.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Company should only have Role Based Access Control (RBAC)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Principle of Least Privilege/Separation of Duties are a must - Limited Access to Contractors and the Business Resources.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Technical - Logs must be reviewed and monitored. Access Logs are essential in order to understand the session. Inactive users should be immediately deleted once contractor’s work is no longer needed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Managerial - Policies and Standard Operating Procedure. Proper Guidelines Addressed on Separation of Duties and User Access Limitations. 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