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goe9xzxx0fid" w:id="0"/>
      <w:bookmarkEnd w:id="0"/>
      <w:r w:rsidDel="00000000" w:rsidR="00000000" w:rsidRPr="00000000">
        <w:rPr>
          <w:rFonts w:ascii="Google Sans" w:cs="Google Sans" w:eastAsia="Google Sans" w:hAnsi="Google Sans"/>
          <w:rtl w:val="0"/>
        </w:rPr>
        <w:t xml:space="preserve">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review compliance regulations and standards, read the </w:t>
      </w:r>
      <w:hyperlink r:id="rId6">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numPr>
          <w:ilvl w:val="0"/>
          <w:numId w:val="5"/>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The Federal Energy Regulatory Commission - North American Electric Reliability Corporation (FERC-NERC)</w:t>
      </w:r>
    </w:p>
    <w:p w:rsidR="00000000" w:rsidDel="00000000" w:rsidP="00000000" w:rsidRDefault="00000000" w:rsidRPr="00000000" w14:paraId="0000000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FERC-NERC regulation applies to organizations that work with electricity or that are involved with the U.S. and North American power grid. Organizations have an obligation to prepare for, mitigate, and report any potential security incident that can negatively affect the power grid. Organizations are legally required to adhere to the Critical Infrastructure Protection Reliability Standards (CIP) defined by the FERC. </w:t>
      </w:r>
    </w:p>
    <w:p w:rsidR="00000000" w:rsidDel="00000000" w:rsidP="00000000" w:rsidRDefault="00000000" w:rsidRPr="00000000" w14:paraId="00000006">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7">
      <w:pPr>
        <w:numPr>
          <w:ilvl w:val="0"/>
          <w:numId w:val="3"/>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General Data Protection Regulation (GDPR)</w:t>
      </w:r>
    </w:p>
    <w:p w:rsidR="00000000" w:rsidDel="00000000" w:rsidP="00000000" w:rsidRDefault="00000000" w:rsidRPr="00000000" w14:paraId="00000008">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GDPR is a European Union (E.U.) general data regulation that protects the processing of E.U. citizens’ data and their right to privacy in and out of E.U. territory. Additionally, if a breach occurs and a E.U. citizen’s data is compromised, they must be informed within 72 hours of the incident.</w:t>
      </w:r>
    </w:p>
    <w:p w:rsidR="00000000" w:rsidDel="00000000" w:rsidP="00000000" w:rsidRDefault="00000000" w:rsidRPr="00000000" w14:paraId="00000009">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Botium Toys must comply with GDPR standards as they do business and collect personal information from customers around the world including the European Union</w:t>
      </w:r>
    </w:p>
    <w:p w:rsidR="00000000" w:rsidDel="00000000" w:rsidP="00000000" w:rsidRDefault="00000000" w:rsidRPr="00000000" w14:paraId="0000000A">
      <w:pPr>
        <w:spacing w:after="200"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B">
      <w:pPr>
        <w:spacing w:after="200"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spacing w:after="200"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D">
      <w:pPr>
        <w:spacing w:after="200"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numPr>
          <w:ilvl w:val="0"/>
          <w:numId w:val="2"/>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Payment Card Industry Data Security Standard (PCI DSS)</w:t>
      </w:r>
    </w:p>
    <w:p w:rsidR="00000000" w:rsidDel="00000000" w:rsidP="00000000" w:rsidRDefault="00000000" w:rsidRPr="00000000" w14:paraId="0000000F">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PCI DSS is an international security standard meant to ensure that organizations storing, accepting, processing, and transmitting credit card information do so in a secure environment. </w:t>
      </w:r>
    </w:p>
    <w:p w:rsidR="00000000" w:rsidDel="00000000" w:rsidP="00000000" w:rsidRDefault="00000000" w:rsidRPr="00000000" w14:paraId="00000010">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Botium toys must also comply with PCI DSS because they do store, accept, and process credit card information and must work to do so in a safe environment to fulfill a transaction either Point of Sale or Secure Online Electronic Commerce Payment.</w:t>
      </w:r>
      <w:r w:rsidDel="00000000" w:rsidR="00000000" w:rsidRPr="00000000">
        <w:rPr>
          <w:rtl w:val="0"/>
        </w:rPr>
      </w:r>
    </w:p>
    <w:p w:rsidR="00000000" w:rsidDel="00000000" w:rsidP="00000000" w:rsidRDefault="00000000" w:rsidRPr="00000000" w14:paraId="00000011">
      <w:pPr>
        <w:numPr>
          <w:ilvl w:val="0"/>
          <w:numId w:val="1"/>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The Health Insurance Portability and Accountability Act (HIPAA)</w:t>
      </w:r>
    </w:p>
    <w:p w:rsidR="00000000" w:rsidDel="00000000" w:rsidP="00000000" w:rsidRDefault="00000000" w:rsidRPr="00000000" w14:paraId="00000012">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HIPAA is a federal law established in 1996 to protect U.S. patients’ health information. This law prohibits patient information from being shared without their consent. Organizations have a legal obligation to inform patients of a breach. </w:t>
      </w:r>
    </w:p>
    <w:p w:rsidR="00000000" w:rsidDel="00000000" w:rsidP="00000000" w:rsidRDefault="00000000" w:rsidRPr="00000000" w14:paraId="00000013">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tl w:val="0"/>
        </w:rPr>
      </w:r>
    </w:p>
    <w:p w:rsidR="00000000" w:rsidDel="00000000" w:rsidP="00000000" w:rsidRDefault="00000000" w:rsidRPr="00000000" w14:paraId="00000014">
      <w:pPr>
        <w:numPr>
          <w:ilvl w:val="0"/>
          <w:numId w:val="4"/>
        </w:numPr>
        <w:spacing w:after="200" w:line="360" w:lineRule="auto"/>
        <w:ind w:left="720" w:hanging="36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System and Organizations Controls (SOC type 1, SOC type 2)</w:t>
      </w:r>
    </w:p>
    <w:p w:rsidR="00000000" w:rsidDel="00000000" w:rsidP="00000000" w:rsidRDefault="00000000" w:rsidRPr="00000000" w14:paraId="00000015">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SOC1 and SOC2 are a series of reports that focus on an organization’s user access policies at different organizational levels. They are used to assess an organization’s financial compliance and levels of risk. They also cover confidentiality, privacy, integrity, availability, security, and overall data safety. Control failures in these areas can lead to fraud.</w:t>
      </w:r>
    </w:p>
    <w:p w:rsidR="00000000" w:rsidDel="00000000" w:rsidP="00000000" w:rsidRDefault="00000000" w:rsidRPr="00000000" w14:paraId="00000016">
      <w:pPr>
        <w:spacing w:after="200" w:line="36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Explanation: </w:t>
      </w:r>
      <w:r w:rsidDel="00000000" w:rsidR="00000000" w:rsidRPr="00000000">
        <w:rPr>
          <w:rFonts w:ascii="Google Sans" w:cs="Google Sans" w:eastAsia="Google Sans" w:hAnsi="Google Sans"/>
          <w:sz w:val="24"/>
          <w:szCs w:val="24"/>
          <w:rtl w:val="0"/>
        </w:rPr>
        <w:t xml:space="preserve">Botium toys must work to establish and enforce user accessibility both internal for the organization and external to third party vendors in order to help alleviate mitigating risk and guarantee data safety</w:t>
      </w:r>
      <w:r w:rsidDel="00000000" w:rsidR="00000000" w:rsidRPr="00000000">
        <w:rPr>
          <w:rFonts w:ascii="Google Sans" w:cs="Google Sans" w:eastAsia="Google Sans" w:hAnsi="Google Sans"/>
          <w:b w:val="1"/>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sera.org/learn/foundations-of-cybersecurity/supplement/xu4pr/controls-frameworks-and-compli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