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Risk assessment</w:t>
      </w:r>
    </w:p>
    <w:p w:rsidR="00000000" w:rsidDel="00000000" w:rsidP="00000000" w:rsidRDefault="00000000" w:rsidRPr="00000000" w14:paraId="00000002">
      <w:pPr>
        <w:pStyle w:val="Heading2"/>
        <w:rPr>
          <w:rFonts w:ascii="Google Sans" w:cs="Google Sans" w:eastAsia="Google Sans" w:hAnsi="Google Sans"/>
        </w:rPr>
      </w:pPr>
      <w:bookmarkStart w:colFirst="0" w:colLast="0" w:name="_jdudu6fs5rtm" w:id="1"/>
      <w:bookmarkEnd w:id="1"/>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4">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5">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6">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7">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Vendor access management</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center hosting services  </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Badge readers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0E">
      <w:pPr>
        <w:pStyle w:val="Heading2"/>
        <w:rPr>
          <w:rFonts w:ascii="Google Sans" w:cs="Google Sans" w:eastAsia="Google Sans" w:hAnsi="Google Sans"/>
        </w:rPr>
      </w:pPr>
      <w:bookmarkStart w:colFirst="0" w:colLast="0" w:name="_5i80k6dm51vy" w:id="2"/>
      <w:bookmarkEnd w:id="2"/>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the proper controls in place and may not be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pepjp18yvpjs" w:id="3"/>
      <w:bookmarkEnd w:id="3"/>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managing assets. Additionally, they will need to determine the impact of the loss of existing assets, including systems, on business continuity.</w:t>
      </w:r>
    </w:p>
    <w:p w:rsidR="00000000" w:rsidDel="00000000" w:rsidP="00000000" w:rsidRDefault="00000000" w:rsidRPr="00000000" w14:paraId="00000012">
      <w:pPr>
        <w:pStyle w:val="Heading2"/>
        <w:rPr>
          <w:rFonts w:ascii="Google Sans" w:cs="Google Sans" w:eastAsia="Google Sans" w:hAnsi="Google Sans"/>
        </w:rPr>
      </w:pPr>
      <w:bookmarkStart w:colFirst="0" w:colLast="0" w:name="_ghnlzhum2uiy" w:id="4"/>
      <w:bookmarkEnd w:id="4"/>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necessary compliance regulations and standards.</w:t>
      </w:r>
    </w:p>
    <w:p w:rsidR="00000000" w:rsidDel="00000000" w:rsidP="00000000" w:rsidRDefault="00000000" w:rsidRPr="00000000" w14:paraId="00000014">
      <w:pPr>
        <w:pStyle w:val="Heading2"/>
        <w:rPr>
          <w:rFonts w:ascii="Google Sans" w:cs="Google Sans" w:eastAsia="Google Sans" w:hAnsi="Google Sans"/>
        </w:rPr>
      </w:pPr>
      <w:bookmarkStart w:colFirst="0" w:colLast="0" w:name="_kmpxjpzb7q2o" w:id="5"/>
      <w:bookmarkEnd w:id="5"/>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lost. </w:t>
      </w:r>
      <w:r w:rsidDel="00000000" w:rsidR="00000000" w:rsidRPr="00000000">
        <w:rPr>
          <w:rFonts w:ascii="Google Sans" w:cs="Google Sans" w:eastAsia="Google Sans" w:hAnsi="Google Sans"/>
          <w:sz w:val="24"/>
          <w:szCs w:val="24"/>
          <w:rtl w:val="0"/>
        </w:rPr>
        <w:t xml:space="preserve">The likelihood of a lost asset or fines from governing bodies is high because Botium Toys does not have all of the necessary controls in place and is not adhering to required regulations and standards related to keeping customer data private.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