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万物皆为上下文：面向上下文工程的智能体文件系统抽象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编者摘要</w:t>
      </w:r>
      <w:r>
        <w:rPr>
          <w:rFonts w:eastAsia="等线" w:ascii="Arial" w:cs="Arial" w:hAnsi="Arial"/>
          <w:b w:val="true"/>
          <w:sz w:val="36"/>
        </w:rPr>
        <w:t>：本文聚焦生成式 AI（GenAI）和智能体系统中的</w:t>
      </w:r>
      <w:r>
        <w:rPr>
          <w:rFonts w:eastAsia="等线" w:ascii="Arial" w:cs="Arial" w:hAnsi="Arial"/>
          <w:b w:val="true"/>
          <w:sz w:val="36"/>
        </w:rPr>
        <w:t>上下文工程</w:t>
      </w:r>
      <w:r>
        <w:rPr>
          <w:rFonts w:eastAsia="等线" w:ascii="Arial" w:cs="Arial" w:hAnsi="Arial"/>
          <w:b w:val="true"/>
          <w:sz w:val="36"/>
        </w:rPr>
        <w:t>核心挑战，提出一种受 Unix “一切皆文件” 理念启发的</w:t>
      </w:r>
      <w:r>
        <w:rPr>
          <w:rFonts w:eastAsia="等线" w:ascii="Arial" w:cs="Arial" w:hAnsi="Arial"/>
          <w:b w:val="true"/>
          <w:sz w:val="36"/>
        </w:rPr>
        <w:t>文件系统抽象架构</w:t>
      </w:r>
      <w:r>
        <w:rPr>
          <w:rFonts w:eastAsia="等线" w:ascii="Arial" w:cs="Arial" w:hAnsi="Arial"/>
          <w:b w:val="true"/>
          <w:sz w:val="36"/>
        </w:rPr>
        <w:t>，作为上下文工程的统一基础，解决现有方案碎片化、缺乏可追溯性和治理机制的问题；该架构通过</w:t>
      </w:r>
      <w:r>
        <w:rPr>
          <w:rFonts w:eastAsia="等线" w:ascii="Arial" w:cs="Arial" w:hAnsi="Arial"/>
          <w:b w:val="true"/>
          <w:sz w:val="36"/>
        </w:rPr>
        <w:t>持久化上下文仓库</w:t>
      </w:r>
      <w:r>
        <w:rPr>
          <w:rFonts w:eastAsia="等线" w:ascii="Arial" w:cs="Arial" w:hAnsi="Arial"/>
          <w:b w:val="true"/>
          <w:sz w:val="36"/>
        </w:rPr>
        <w:t>（整合历史、内存、临时工作区）和</w:t>
      </w:r>
      <w:r>
        <w:rPr>
          <w:rFonts w:eastAsia="等线" w:ascii="Arial" w:cs="Arial" w:hAnsi="Arial"/>
          <w:b w:val="true"/>
          <w:sz w:val="36"/>
        </w:rPr>
        <w:t>上下文工程流水线</w:t>
      </w:r>
      <w:r>
        <w:rPr>
          <w:rFonts w:eastAsia="等线" w:ascii="Arial" w:cs="Arial" w:hAnsi="Arial"/>
          <w:b w:val="true"/>
          <w:sz w:val="36"/>
        </w:rPr>
        <w:t>（构造器、更新器、评估器），在</w:t>
      </w:r>
      <w:r>
        <w:rPr>
          <w:rFonts w:eastAsia="等线" w:ascii="Arial" w:cs="Arial" w:hAnsi="Arial"/>
          <w:b w:val="true"/>
          <w:sz w:val="36"/>
        </w:rPr>
        <w:t>AIGNE 框架</w:t>
      </w:r>
      <w:r>
        <w:rPr>
          <w:rFonts w:eastAsia="等线" w:ascii="Arial" w:cs="Arial" w:hAnsi="Arial"/>
          <w:b w:val="true"/>
          <w:sz w:val="36"/>
        </w:rPr>
        <w:t>中实现，满足 GenAI 的令牌窗口、无状态等设计约束，支持人机协同与可验证推理，通过两个实例验证了可行性，未来将探索智能体自主导航和强化人机协作。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097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2960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一、研究背景与核心问题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核心场景：生成式 AI（GenAI）和智能体系统中，上下文工程是关键架构需求，涵盖外部知识、内存、工具、人类输入的捕获、结构化与治理，确保模型推理基于准确信息。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现有挑战：方案碎片化：LangChain、AutoGen 等框架缺乏统一架构，上下文产物临时、不透明、不可验证；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模型约束适配：GenAI 存在</w:t>
      </w:r>
      <w:r>
        <w:rPr>
          <w:rFonts w:eastAsia="等线" w:ascii="Arial" w:cs="Arial" w:hAnsi="Arial"/>
          <w:b w:val="true"/>
          <w:sz w:val="22"/>
        </w:rPr>
        <w:t>令牌窗口限制</w:t>
      </w:r>
      <w:r>
        <w:rPr>
          <w:rFonts w:eastAsia="等线" w:ascii="Arial" w:cs="Arial" w:hAnsi="Arial"/>
          <w:sz w:val="22"/>
        </w:rPr>
        <w:t>（如 GPT-5 128K、Claude Sonnet 4.5 200K）、无状态性、非确定性输出等架构约束；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人机协同缺失：缺乏将人类隐性知识和伦理判断嵌入上下文生命周期的机制。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二、核心架构设计：文件系统抽象</w:t>
      </w:r>
      <w:bookmarkEnd w:id="2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设计理念</w:t>
      </w:r>
      <w:r>
        <w:rPr>
          <w:rFonts w:eastAsia="等线" w:ascii="Arial" w:cs="Arial" w:hAnsi="Arial"/>
          <w:sz w:val="22"/>
        </w:rPr>
        <w:t>：借鉴 Unix “一切皆文件”，将异构上下文资源（内存、工具、人类输入等）统一为文件接口，实现标准化访问与管理。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核心特性</w:t>
      </w:r>
      <w:r>
        <w:rPr>
          <w:rFonts w:eastAsia="等线" w:ascii="Arial" w:cs="Arial" w:hAnsi="Arial"/>
          <w:sz w:val="22"/>
        </w:rPr>
        <w:t>（遵循软件工程原则）：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抽象性：隐藏底层资源差异，提供统一接口；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模块化与封装：资源独立挂载，内部逻辑与外部集成解耦；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关注点分离：区分数据、工具、治理层，治理独立于推理逻辑；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可追溯性与可验证性：所有交互记录为事务，支持溯源与审计；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可组合性与可演化性：统一命名空间，支持插件化扩展。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三、持久化上下文仓库（Context Repository）</w:t>
      </w:r>
      <w:bookmarkEnd w:id="3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功能：解决 GenAI 无状态问题，实现上下文跨会话、跨智能体的持久化与可追溯，包含三层核心组件：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9" o:title=""/>
          </v:shape>
          <o:OLEObject DrawAspect="Icon" ObjectID="_1718471219" ProgID="Excel.Sheet.12" ShapeID="_x0000_i1025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生命周期：输入→History→（总结 / 嵌入 / 索引）→Memory；推理中间数据→Scratchpad→（验证后）→Memory/History 归档。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四、上下文工程流水线</w:t>
      </w:r>
      <w:bookmarkEnd w:id="4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设计约束</w:t>
      </w:r>
      <w:r>
        <w:rPr>
          <w:rFonts w:eastAsia="等线" w:ascii="Arial" w:cs="Arial" w:hAnsi="Arial"/>
          <w:sz w:val="22"/>
        </w:rPr>
        <w:t>（源于 GenAI 固有特性）：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约束 1：</w:t>
      </w:r>
      <w:r>
        <w:rPr>
          <w:rFonts w:eastAsia="等线" w:ascii="Arial" w:cs="Arial" w:hAnsi="Arial"/>
          <w:b w:val="true"/>
          <w:sz w:val="22"/>
        </w:rPr>
        <w:t>令牌窗口限制</w:t>
      </w:r>
      <w:r>
        <w:rPr>
          <w:rFonts w:eastAsia="等线" w:ascii="Arial" w:cs="Arial" w:hAnsi="Arial"/>
          <w:sz w:val="22"/>
        </w:rPr>
        <w:t>：模型单次推理可处理的最大令牌数有限（如 GPT-5 128K、Claude Sonnet 4.5 200K），需压缩 / 筛选上下文；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约束 2：</w:t>
      </w:r>
      <w:r>
        <w:rPr>
          <w:rFonts w:eastAsia="等线" w:ascii="Arial" w:cs="Arial" w:hAnsi="Arial"/>
          <w:b w:val="true"/>
          <w:sz w:val="22"/>
        </w:rPr>
        <w:t>无状态性</w:t>
      </w:r>
      <w:r>
        <w:rPr>
          <w:rFonts w:eastAsia="等线" w:ascii="Arial" w:cs="Arial" w:hAnsi="Arial"/>
          <w:sz w:val="22"/>
        </w:rPr>
        <w:t>：模型不保留跨会话记忆，依赖外部仓库恢复上下文；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约束 3：</w:t>
      </w:r>
      <w:r>
        <w:rPr>
          <w:rFonts w:eastAsia="等线" w:ascii="Arial" w:cs="Arial" w:hAnsi="Arial"/>
          <w:b w:val="true"/>
          <w:sz w:val="22"/>
        </w:rPr>
        <w:t>非确定性与概率输出</w:t>
      </w:r>
      <w:r>
        <w:rPr>
          <w:rFonts w:eastAsia="等线" w:ascii="Arial" w:cs="Arial" w:hAnsi="Arial"/>
          <w:sz w:val="22"/>
        </w:rPr>
        <w:t>：相同提示可能产生不同结果，需记录输入输出对确保可追溯。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三大核心组件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① 上下文构造器：从持久化仓库筛选相关上下文，通过总结 / 聚类压缩至令牌限制内，生成含选择逻辑的</w:t>
      </w:r>
      <w:r>
        <w:rPr>
          <w:rFonts w:eastAsia="等线" w:ascii="Arial" w:cs="Arial" w:hAnsi="Arial"/>
          <w:b w:val="true"/>
          <w:sz w:val="22"/>
        </w:rPr>
        <w:t>上下文清单</w:t>
      </w:r>
      <w:r>
        <w:rPr>
          <w:rFonts w:eastAsia="等线" w:ascii="Arial" w:cs="Arial" w:hAnsi="Arial"/>
          <w:sz w:val="22"/>
        </w:rPr>
        <w:t>，确保隐私与访问控制；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② 上下文更新器：将构造的上下文流式注入模型令牌窗口，支持静态快照（单轮任务）或增量刷新（交互式会话），维护多智能体间资源隔离；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③ 上下文评估器：验证模型输出（检测幻觉、矛盾），将已验证信息更新至持久化仓库，低置信度时触发</w:t>
      </w:r>
      <w:r>
        <w:rPr>
          <w:rFonts w:eastAsia="等线" w:ascii="Arial" w:cs="Arial" w:hAnsi="Arial"/>
          <w:b w:val="true"/>
          <w:sz w:val="22"/>
        </w:rPr>
        <w:t>人机协同审核</w:t>
      </w:r>
      <w:r>
        <w:rPr>
          <w:rFonts w:eastAsia="等线" w:ascii="Arial" w:cs="Arial" w:hAnsi="Arial"/>
          <w:sz w:val="22"/>
        </w:rPr>
        <w:t>，记录评估指标（置信度、事实一致性等）。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五、</w:t>
      </w:r>
      <w:r>
        <w:rPr>
          <w:rFonts w:eastAsia="等线" w:ascii="Arial" w:cs="Arial" w:hAnsi="Arial"/>
          <w:b w:val="true"/>
          <w:sz w:val="28"/>
        </w:rPr>
        <w:t>AIGNE框架</w:t>
      </w:r>
      <w:r>
        <w:rPr>
          <w:rFonts w:eastAsia="等线" w:ascii="Arial" w:cs="Arial" w:hAnsi="Arial"/>
          <w:b w:val="true"/>
          <w:sz w:val="28"/>
        </w:rPr>
        <w:t>实现平台原理与实例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AIGNE 框架是支撑 “文件系统抽象 + 上下文工程流水线” 的核心落地载体，其实现原理深度对齐 “LLM-as-OS” 范式，以</w:t>
      </w:r>
      <w:r>
        <w:rPr>
          <w:rFonts w:eastAsia="等线" w:ascii="Arial" w:cs="Arial" w:hAnsi="Arial"/>
          <w:b w:val="true"/>
          <w:sz w:val="22"/>
        </w:rPr>
        <w:t>统一文件接口为核心、模块化组件为支撑、上下文全生命周期管理为目标</w:t>
      </w:r>
      <w:r>
        <w:rPr>
          <w:rFonts w:eastAsia="等线" w:ascii="Arial" w:cs="Arial" w:hAnsi="Arial"/>
          <w:sz w:val="22"/>
        </w:rPr>
        <w:t>，解决 GenAI 智能体在上下文治理、资源集成、人机协同等方面的技术痛点。以下从设计理念、核心模块、关键流程、技术特性、实例落地五个维度，详细拆解其实现原理：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一、核心设计理念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AIGNE 框架的实现围绕三大核心理念展开，确保架构与上下文工程的需求高度匹配：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“一切皆文件” 的资源统一：借鉴 Unix 哲学，将所有上下文相关资源（内存、工具、外部 API、人类输入、历史交互）抽象为 “文件 / 目录”，通过统一的文件操作接口（读写、搜索、执行）屏蔽底层异构性（如 SQLite、向量数据库、GitHub API 的差异）；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对齐 GenAI 的架构约束：针对性解决 GenAI 的 “令牌窗口限制、无状态性、非确定性输出” 三大核心约束，通过模块化设计实现上下文的 “筛选 - 压缩 - 注入 - 验证 - 更新” 闭环；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人机协同与可验证性：将人类角色（知识贡献者、审核者、决策者）嵌入框架底层，通过日志追踪、元数据管理、人工干预触发机制，确保 GenAI 推理的可追溯、可审计、可修正。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二、核心模块构成与实现逻辑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AIGNE 框架的核心模块按 “基础设施层 - 核心功能层 - 应用层” 分层设计，各模块协同实现文件系统抽象和上下文工程流水线：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（一）基础设施层：文件系统抽象的核心载体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该层是框架的 “地基”，实现异构资源的统一挂载与访问，核心模块包括</w:t>
      </w:r>
      <w:r>
        <w:rPr>
          <w:rFonts w:eastAsia="等线" w:ascii="Arial" w:cs="Arial" w:hAnsi="Arial"/>
          <w:b w:val="true"/>
          <w:sz w:val="22"/>
        </w:rPr>
        <w:t>AFS（Agentic File System）</w:t>
      </w:r>
      <w:r>
        <w:rPr>
          <w:rFonts w:eastAsia="等线" w:ascii="Arial" w:cs="Arial" w:hAnsi="Arial"/>
          <w:sz w:val="22"/>
        </w:rPr>
        <w:t xml:space="preserve"> 和</w:t>
      </w:r>
      <w:r>
        <w:rPr>
          <w:rFonts w:eastAsia="等线" w:ascii="Arial" w:cs="Arial" w:hAnsi="Arial"/>
          <w:b w:val="true"/>
          <w:sz w:val="22"/>
        </w:rPr>
        <w:t>SystemFS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AFS（智能体文件系统）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定位：框架的顶层统一接口，负责将所有上下文资源（内存、工具、外部服务、人类输入）映射为 “文件 / 目录”，提供标准化的异步 API（</w:t>
      </w:r>
      <w:r>
        <w:rPr>
          <w:rFonts w:eastAsia="Consolas" w:ascii="Consolas" w:cs="Consolas" w:hAnsi="Consolas"/>
          <w:sz w:val="22"/>
          <w:shd w:fill="EFF0F1"/>
        </w:rPr>
        <w:t>afs_list()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afs_read()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afs_write()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afs_search()</w:t>
      </w:r>
      <w:r>
        <w:rPr>
          <w:rFonts w:eastAsia="等线" w:ascii="Arial" w:cs="Arial" w:hAnsi="Arial"/>
          <w:sz w:val="22"/>
        </w:rPr>
        <w:t>）；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实现逻辑：通过 “可编程解析器”（Programmable Resolvers）实现资源映射 —— 解析器基于声明式 schema（类似 GraphQL/OpenAPI），将底层存储（如 SQLite、向量数据库）、外部服务（如 GitHub MCP）、工具（如 Node.js 脚本）的内部结构，自动投影为 AFS 命名空间下的 “文件节点”，无需修改底层资源的存储格式；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命名空间设计：采用层级化路径命名（如</w:t>
      </w:r>
      <w:r>
        <w:rPr>
          <w:rFonts w:eastAsia="Consolas" w:ascii="Consolas" w:cs="Consolas" w:hAnsi="Consolas"/>
          <w:sz w:val="22"/>
          <w:shd w:fill="EFF0F1"/>
        </w:rPr>
        <w:t>/context/memory/agent123/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/modules/github-mcp/search_repositories</w:t>
      </w:r>
      <w:r>
        <w:rPr>
          <w:rFonts w:eastAsia="等线" w:ascii="Arial" w:cs="Arial" w:hAnsi="Arial"/>
          <w:sz w:val="22"/>
        </w:rPr>
        <w:t>），既实现资源隔离（不同智能体 / 任务的资源分目录存储），又支持跨资源访问（通过路径导航调用不同模块）。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SystemFS（虚拟文件系统）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目录导航：支持嵌套子目录遍历，可配置深度限制，适配复杂资源结构；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高效搜索：集成</w:t>
      </w:r>
      <w:r>
        <w:rPr>
          <w:rFonts w:eastAsia="Consolas" w:ascii="Consolas" w:cs="Consolas" w:hAnsi="Consolas"/>
          <w:sz w:val="22"/>
          <w:shd w:fill="EFF0F1"/>
        </w:rPr>
        <w:t>ripgrep</w:t>
      </w:r>
      <w:r>
        <w:rPr>
          <w:rFonts w:eastAsia="等线" w:ascii="Arial" w:cs="Arial" w:hAnsi="Arial"/>
          <w:sz w:val="22"/>
        </w:rPr>
        <w:t>工具，支持基于内容的全文检索，快速定位相关上下文；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元数据管理：为每个文件 / 目录附加标准化元数据（时间戳、大小、类型、来源 ID、置信度、访问权限），支撑可追溯性；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沙箱化访问：仅允许访问 “已挂载目录”，限制智能体的操作范围，避免数据泄露或非法调用。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定位：AFS 的底层实现支撑，提供虚拟文件系统的核心能力，确保资源访问的安全性、高效性；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核心功能实现：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（二）核心功能层：上下文工程流水线的落地实现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该层对应文档提出的 “上下文工程流水线”，通过三大组件实现上下文的全生命周期管理，同时集成内存模块、工具执行引擎等支撑组件：</w:t>
      </w: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11" o:title=""/>
          </v:shape>
          <o:OLEObject DrawAspect="Icon" ObjectID="_1718471220" ProgID="Excel.Sheet.12" ShapeID="_x0000_i1026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（三）应用层：智能体创建与外部集成</w:t>
      </w:r>
      <w:bookmarkEnd w:id="10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智能体核心接口：提供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AIAgent.from()</w:t>
      </w:r>
      <w:r>
        <w:rPr>
          <w:rFonts w:eastAsia="等线" w:ascii="Arial" w:cs="Arial" w:hAnsi="Arial"/>
          <w:sz w:val="22"/>
        </w:rPr>
        <w:t>便捷创建接口，支持配置指令、输入键、关联 AFS 实例、挂载内存模块，开发者无需关注底层实现；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外部集成能力：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LLM 集成：原生支持 OpenAI、Gemini、Claude、DeepSeek、Ollama 等主流模型，可动态切换；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服务集成：通过 MCP（Model Context Protocol）协议挂载外部服务（如 GitHub MCP 服务器），将服务能力转化为 AFS 目录下的 “工具文件”，支持智能体直接调用；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开发体验优化：提供插件化架构，支持自定义内存模块、解析器、评估规则，适配不同行业场景（如医疗、金融的合规需求）。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三、关键技术特性的实现细节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AIGNE 框架的核心竞争力源于以下技术特性的深度实现，确保架构的稳定性、安全性和可扩展性：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>可追溯性与可验证性</w:t>
      </w:r>
      <w:bookmarkEnd w:id="12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实现方式：所有操作（文件读写、工具调用、上下文更新）均记录为 “事务日志”，包含时间戳、操作主体（智能体 / 人类）、资源路径、元数据变更；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支撑能力：可回放任意推理会话的上下文流转过程，审计智能体的决策依据，满足合规要求（如金融行业的决策追溯）。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>令牌窗口优化</w:t>
      </w:r>
      <w:bookmarkEnd w:id="13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实现方式：构造器内置 “令牌预算估算工具”，基于模型类型（如 GPT-5、Claude）自动识别令牌上限，通过 “摘要压缩 + 增量加载” 双重机制，确保上下文不超限；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优势：避免因令牌溢出导致的推理中断，同时减少冗余信息，降低计算成本（因 LLM 的自注意力机制计算复杂度为 O (n²)，n 为令牌数）。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color w:val="3370ff"/>
          <w:sz w:val="28"/>
        </w:rPr>
        <w:t xml:space="preserve">3. </w:t>
      </w:r>
      <w:r>
        <w:rPr>
          <w:rFonts w:eastAsia="等线" w:ascii="Arial" w:cs="Arial" w:hAnsi="Arial"/>
          <w:b w:val="true"/>
          <w:sz w:val="28"/>
        </w:rPr>
        <w:t>无状态性适配</w:t>
      </w:r>
      <w:bookmarkEnd w:id="14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实现方式：通过 “History+Memory” 持久化仓库，将智能体的状态（会话历史、用户偏好、任务进度）存储在 AFS 中，每次会话启动时通过</w:t>
      </w:r>
      <w:r>
        <w:rPr>
          <w:rFonts w:eastAsia="Consolas" w:ascii="Consolas" w:cs="Consolas" w:hAnsi="Consolas"/>
          <w:sz w:val="22"/>
          <w:shd w:fill="EFF0F1"/>
        </w:rPr>
        <w:t>afs_read()</w:t>
      </w:r>
      <w:r>
        <w:rPr>
          <w:rFonts w:eastAsia="等线" w:ascii="Arial" w:cs="Arial" w:hAnsi="Arial"/>
          <w:sz w:val="22"/>
        </w:rPr>
        <w:t>恢复状态；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优势：解决 GenAI 模型无状态的问题，实现跨会话的连贯交互（如客服机器人记住用户之前的咨询内容）。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color w:val="3370ff"/>
          <w:sz w:val="28"/>
        </w:rPr>
        <w:t xml:space="preserve">4. </w:t>
      </w:r>
      <w:r>
        <w:rPr>
          <w:rFonts w:eastAsia="等线" w:ascii="Arial" w:cs="Arial" w:hAnsi="Arial"/>
          <w:b w:val="true"/>
          <w:sz w:val="28"/>
        </w:rPr>
        <w:t>插件化扩展</w:t>
      </w:r>
      <w:bookmarkEnd w:id="15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实现方式：框架的核心模块（内存、解析器、评估器）均设计为插件接口，支持第三方开发者通过统一规范接入自定义组件；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示例：若需接入知识图谱作为内存存储，可开发 “知识图谱内存插件”，通过解析器映射为</w:t>
      </w:r>
      <w:r>
        <w:rPr>
          <w:rFonts w:eastAsia="Consolas" w:ascii="Consolas" w:cs="Consolas" w:hAnsi="Consolas"/>
          <w:sz w:val="22"/>
          <w:shd w:fill="EFF0F1"/>
        </w:rPr>
        <w:t>/context/memory/kg/</w:t>
      </w:r>
      <w:r>
        <w:rPr>
          <w:rFonts w:eastAsia="等线" w:ascii="Arial" w:cs="Arial" w:hAnsi="Arial"/>
          <w:sz w:val="22"/>
        </w:rPr>
        <w:t>路径，无需修改框架核心代码。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四、实例落地：两大典型场景的实现逻辑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AIGNE 框架的实现原理已通过两个核心实例验证，其落地逻辑直观体现了模块协同流程：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实例 1：带持久化内存的智能体</w:t>
      </w:r>
      <w:bookmarkEnd w:id="17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核心需求：跨会话维持上下文连贯性（如记住用户偏好）；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实现流程：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开发者通过代码挂载</w:t>
      </w:r>
      <w:r>
        <w:rPr>
          <w:rFonts w:eastAsia="Consolas" w:ascii="Consolas" w:cs="Consolas" w:hAnsi="Consolas"/>
          <w:sz w:val="22"/>
          <w:shd w:fill="EFF0F1"/>
        </w:rPr>
        <w:t>AFSHistory</w:t>
      </w:r>
      <w:r>
        <w:rPr>
          <w:rFonts w:eastAsia="等线" w:ascii="Arial" w:cs="Arial" w:hAnsi="Arial"/>
          <w:sz w:val="22"/>
        </w:rPr>
        <w:t>和</w:t>
      </w:r>
      <w:r>
        <w:rPr>
          <w:rFonts w:eastAsia="Consolas" w:ascii="Consolas" w:cs="Consolas" w:hAnsi="Consolas"/>
          <w:sz w:val="22"/>
          <w:shd w:fill="EFF0F1"/>
        </w:rPr>
        <w:t>UserProfileMemory</w:t>
      </w:r>
      <w:r>
        <w:rPr>
          <w:rFonts w:eastAsia="等线" w:ascii="Arial" w:cs="Arial" w:hAnsi="Arial"/>
          <w:sz w:val="22"/>
        </w:rPr>
        <w:t>模块，指定 SQLite 为存储后端（</w:t>
      </w:r>
      <w:r>
        <w:rPr>
          <w:rFonts w:eastAsia="Consolas" w:ascii="Consolas" w:cs="Consolas" w:hAnsi="Consolas"/>
          <w:sz w:val="22"/>
          <w:shd w:fill="EFF0F1"/>
        </w:rPr>
        <w:t>file:./memory.sqlite3</w:t>
      </w:r>
      <w:r>
        <w:rPr>
          <w:rFonts w:eastAsia="等线" w:ascii="Arial" w:cs="Arial" w:hAnsi="Arial"/>
          <w:sz w:val="22"/>
        </w:rPr>
        <w:t>）；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智能体初始化时，AFS 将内存模块映射为</w:t>
      </w:r>
      <w:r>
        <w:rPr>
          <w:rFonts w:eastAsia="Consolas" w:ascii="Consolas" w:cs="Consolas" w:hAnsi="Consolas"/>
          <w:sz w:val="22"/>
          <w:shd w:fill="EFF0F1"/>
        </w:rPr>
        <w:t>/context/history/</w:t>
      </w:r>
      <w:r>
        <w:rPr>
          <w:rFonts w:eastAsia="等线" w:ascii="Arial" w:cs="Arial" w:hAnsi="Arial"/>
          <w:sz w:val="22"/>
        </w:rPr>
        <w:t>和</w:t>
      </w:r>
      <w:r>
        <w:rPr>
          <w:rFonts w:eastAsia="Consolas" w:ascii="Consolas" w:cs="Consolas" w:hAnsi="Consolas"/>
          <w:sz w:val="22"/>
          <w:shd w:fill="EFF0F1"/>
        </w:rPr>
        <w:t>/context/memory/user/</w:t>
      </w:r>
      <w:r>
        <w:rPr>
          <w:rFonts w:eastAsia="等线" w:ascii="Arial" w:cs="Arial" w:hAnsi="Arial"/>
          <w:sz w:val="22"/>
        </w:rPr>
        <w:t>目录；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会话过程中，每轮交互自动写入</w:t>
      </w:r>
      <w:r>
        <w:rPr>
          <w:rFonts w:eastAsia="Consolas" w:ascii="Consolas" w:cs="Consolas" w:hAnsi="Consolas"/>
          <w:sz w:val="22"/>
          <w:shd w:fill="EFF0F1"/>
        </w:rPr>
        <w:t>History</w:t>
      </w:r>
      <w:r>
        <w:rPr>
          <w:rFonts w:eastAsia="等线" w:ascii="Arial" w:cs="Arial" w:hAnsi="Arial"/>
          <w:sz w:val="22"/>
        </w:rPr>
        <w:t>，用户偏好被提取后写入</w:t>
      </w:r>
      <w:r>
        <w:rPr>
          <w:rFonts w:eastAsia="Consolas" w:ascii="Consolas" w:cs="Consolas" w:hAnsi="Consolas"/>
          <w:sz w:val="22"/>
          <w:shd w:fill="EFF0F1"/>
        </w:rPr>
        <w:t>UserProfileMemory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新会话启动时，构造器通过</w:t>
      </w:r>
      <w:r>
        <w:rPr>
          <w:rFonts w:eastAsia="Consolas" w:ascii="Consolas" w:cs="Consolas" w:hAnsi="Consolas"/>
          <w:sz w:val="22"/>
          <w:shd w:fill="EFF0F1"/>
        </w:rPr>
        <w:t>afs_read()</w:t>
      </w:r>
      <w:r>
        <w:rPr>
          <w:rFonts w:eastAsia="等线" w:ascii="Arial" w:cs="Arial" w:hAnsi="Arial"/>
          <w:sz w:val="22"/>
        </w:rPr>
        <w:t>加载历史交互和用户偏好，生成上下文注入模型，实现连贯响应。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实例 2：GitHub MCP 助手</w:t>
      </w:r>
      <w:bookmarkEnd w:id="18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核心需求：让智能体通过文件操作调用 GitHub 功能（如搜索仓库、列出 issue）；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实现流程：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启动 GitHub MCP 服务器（通过 Docker 容器），获取访问令牌；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通过</w:t>
      </w:r>
      <w:r>
        <w:rPr>
          <w:rFonts w:eastAsia="Consolas" w:ascii="Consolas" w:cs="Consolas" w:hAnsi="Consolas"/>
          <w:sz w:val="22"/>
          <w:shd w:fill="EFF0F1"/>
        </w:rPr>
        <w:t>MCPAgent.from()</w:t>
      </w:r>
      <w:r>
        <w:rPr>
          <w:rFonts w:eastAsia="等线" w:ascii="Arial" w:cs="Arial" w:hAnsi="Arial"/>
          <w:sz w:val="22"/>
        </w:rPr>
        <w:t>创建 MCP 代理，挂载到 AFS 的</w:t>
      </w:r>
      <w:r>
        <w:rPr>
          <w:rFonts w:eastAsia="Consolas" w:ascii="Consolas" w:cs="Consolas" w:hAnsi="Consolas"/>
          <w:sz w:val="22"/>
          <w:shd w:fill="EFF0F1"/>
        </w:rPr>
        <w:t>/modules/github-mcp/</w:t>
      </w:r>
      <w:r>
        <w:rPr>
          <w:rFonts w:eastAsia="等线" w:ascii="Arial" w:cs="Arial" w:hAnsi="Arial"/>
          <w:sz w:val="22"/>
        </w:rPr>
        <w:t>目录；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智能体通过</w:t>
      </w:r>
      <w:r>
        <w:rPr>
          <w:rFonts w:eastAsia="Consolas" w:ascii="Consolas" w:cs="Consolas" w:hAnsi="Consolas"/>
          <w:sz w:val="22"/>
          <w:shd w:fill="EFF0F1"/>
        </w:rPr>
        <w:t>afs_list()</w:t>
      </w:r>
      <w:r>
        <w:rPr>
          <w:rFonts w:eastAsia="等线" w:ascii="Arial" w:cs="Arial" w:hAnsi="Arial"/>
          <w:sz w:val="22"/>
        </w:rPr>
        <w:t>查看 GitHub 支持的功能（如</w:t>
      </w:r>
      <w:r>
        <w:rPr>
          <w:rFonts w:eastAsia="Consolas" w:ascii="Consolas" w:cs="Consolas" w:hAnsi="Consolas"/>
          <w:sz w:val="22"/>
          <w:shd w:fill="EFF0F1"/>
        </w:rPr>
        <w:t>search_repositories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list_issues</w:t>
      </w:r>
      <w:r>
        <w:rPr>
          <w:rFonts w:eastAsia="等线" w:ascii="Arial" w:cs="Arial" w:hAnsi="Arial"/>
          <w:sz w:val="22"/>
        </w:rPr>
        <w:t>），通过</w:t>
      </w:r>
      <w:r>
        <w:rPr>
          <w:rFonts w:eastAsia="Consolas" w:ascii="Consolas" w:cs="Consolas" w:hAnsi="Consolas"/>
          <w:sz w:val="22"/>
          <w:shd w:fill="EFF0F1"/>
        </w:rPr>
        <w:t>afs_exec()</w:t>
      </w:r>
      <w:r>
        <w:rPr>
          <w:rFonts w:eastAsia="等线" w:ascii="Arial" w:cs="Arial" w:hAnsi="Arial"/>
          <w:sz w:val="22"/>
        </w:rPr>
        <w:t>调用功能并传入结构化参数；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调用结果以 “文件” 形式返回，构造器将其整合为上下文，支撑后续推理（如生成仓库搜索报告）。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五、核心价值与实现目标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AIGNE 框架通过上述原理实现，最终达成三大核心目标：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降低开发门槛：开发者无需关注上下文治理、资源集成等底层细节，通过简单的 API 即可创建工业级 GenAI 智能体；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确保系统可靠性：通过可追溯性、幻觉检测、沙箱安全等机制，解决 GenAI 在工业场景中的合规与风险控制问题；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赋能人机协同：将人类从 “被动审核” 转变为 “主动参与上下文工程”，通过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/context/human/</w:t>
      </w:r>
      <w:r>
        <w:rPr>
          <w:rFonts w:eastAsia="等线" w:ascii="Arial" w:cs="Arial" w:hAnsi="Arial"/>
          <w:sz w:val="22"/>
        </w:rPr>
        <w:t>目录实现人类知识与 AI 推理的深度融合。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简言之，AIGNE 框架的本质是 “GenAI 智能体的操作系统”—— 以文件系统抽象为 “内核”，以上下文工程流水线为 “核心服务”，以插件化扩展为 “驱动”，让智能体像操作系统进程一样，安全、高效地管理上下文资源，实现可验证、可扩展的推理与协作。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AIGNE 框架：开源框架，实现文件系统抽象与上下文流水线，支持多主流 LLM（OpenAI、Gemini 等），核心模块包括：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AFS（智能体文件系统）：统一管理挂载资源，支持读写、搜索、元数据管理；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SystemFS：虚拟文件系统，提供沙箱化访问、嵌套目录导航等功能；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内存模块：DefaultMemory、UserProfileMemory 等，支持持久化存储。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六、结论与未来工作</w:t>
      </w:r>
      <w:bookmarkEnd w:id="20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核心价值：将上下文工程从临时实践转化为系统化、可验证的架构，支持 DevOps 流程管理，实现人机协同的可追溯推理；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未来方向：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实现智能体对 AFS 层级的自主导航与数据结构演化；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强化人类在上下文工程中的主动参与（知识贡献、筛选、校准）。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七 关键问题</w:t>
      </w:r>
      <w:bookmarkEnd w:id="2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问题 1：本文提出的文件系统抽象架构，核心创新点是什么？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</w:t>
      </w:r>
      <w:r>
        <w:rPr>
          <w:rFonts w:eastAsia="等线" w:ascii="Arial" w:cs="Arial" w:hAnsi="Arial"/>
          <w:sz w:val="22"/>
        </w:rPr>
        <w:t>：核心创新点在于借鉴 Unix “一切皆文件” 理念，构建了上下文工程的</w:t>
      </w:r>
      <w:r>
        <w:rPr>
          <w:rFonts w:eastAsia="等线" w:ascii="Arial" w:cs="Arial" w:hAnsi="Arial"/>
          <w:b w:val="true"/>
          <w:sz w:val="22"/>
        </w:rPr>
        <w:t>统一架构基础</w:t>
      </w:r>
      <w:r>
        <w:rPr>
          <w:rFonts w:eastAsia="等线" w:ascii="Arial" w:cs="Arial" w:hAnsi="Arial"/>
          <w:sz w:val="22"/>
        </w:rPr>
        <w:t>，解决现有方案碎片化问题：① 抽象性：将异构上下文资源（内存、工具、人类输入、外部 API 等）统一为标准化文件接口，隐藏底层存储与格式差异，实现跨资源无缝集成；② 治理与可追溯性：所有上下文交互记录为事务，结合元数据（时间戳、谱系、访问权限），确保上下文全生命周期可审计、可回放；③ 模块化与可扩展性：支持动态挂载新资源（如向量数据库、知识图谱），无需修改核心架构，适配不同 GenAI 场景；④ 人机协同嵌入：将人类角色（审核者、知识贡献者）纳入架构，低置信度输出触发人类干预，确保隐性知识与伦理判断融入上下文。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问题 2：上下文工程流水线的设计约束源于 GenAI 的哪些固有特性？这些约束如何影响流水线设计？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</w:t>
      </w:r>
      <w:r>
        <w:rPr>
          <w:rFonts w:eastAsia="等线" w:ascii="Arial" w:cs="Arial" w:hAnsi="Arial"/>
          <w:sz w:val="22"/>
        </w:rPr>
        <w:t>：设计约束源于 GenAI 的三大固有特性，直接决定了流水线的功能设计：① 约束 1：</w:t>
      </w:r>
      <w:r>
        <w:rPr>
          <w:rFonts w:eastAsia="等线" w:ascii="Arial" w:cs="Arial" w:hAnsi="Arial"/>
          <w:b w:val="true"/>
          <w:sz w:val="22"/>
        </w:rPr>
        <w:t>令牌窗口限制</w:t>
      </w:r>
      <w:r>
        <w:rPr>
          <w:rFonts w:eastAsia="等线" w:ascii="Arial" w:cs="Arial" w:hAnsi="Arial"/>
          <w:sz w:val="22"/>
        </w:rPr>
        <w:t>（如 GPT-5 128K、Claude Sonnet 4.5 200K）：模型单次推理的令牌容量有限，且输入长度增加会导致计算成本呈二次增长，因此流水线需设计 “筛选 - 压缩” 机制（构造器核心功能），确保上下文在令牌限制内且信息无损；② 约束 2：</w:t>
      </w:r>
      <w:r>
        <w:rPr>
          <w:rFonts w:eastAsia="等线" w:ascii="Arial" w:cs="Arial" w:hAnsi="Arial"/>
          <w:b w:val="true"/>
          <w:sz w:val="22"/>
        </w:rPr>
        <w:t>无状态性</w:t>
      </w:r>
      <w:r>
        <w:rPr>
          <w:rFonts w:eastAsia="等线" w:ascii="Arial" w:cs="Arial" w:hAnsi="Arial"/>
          <w:sz w:val="22"/>
        </w:rPr>
        <w:t>：模型不保留跨会话记忆，因此流水线依赖 “持久化上下文仓库”（历史 + 内存 + 临时工作区），由更新器负责跨会话上下文同步与恢复，避免冗余计算；③ 约束 3：</w:t>
      </w:r>
      <w:r>
        <w:rPr>
          <w:rFonts w:eastAsia="等线" w:ascii="Arial" w:cs="Arial" w:hAnsi="Arial"/>
          <w:b w:val="true"/>
          <w:sz w:val="22"/>
        </w:rPr>
        <w:t>非确定性与概率输出</w:t>
      </w:r>
      <w:r>
        <w:rPr>
          <w:rFonts w:eastAsia="等线" w:ascii="Arial" w:cs="Arial" w:hAnsi="Arial"/>
          <w:sz w:val="22"/>
        </w:rPr>
        <w:t>：相同提示可能产生不同结果，因此流水线设置评估器，记录输入输出对、元数据与谱系，支持事后审计与幻觉检测，确保推理可验证。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问题 3：AIGNE 框架如何落地文件系统抽象架构？其典型应用场景有哪些？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</w:t>
      </w:r>
      <w:r>
        <w:rPr>
          <w:rFonts w:eastAsia="等线" w:ascii="Arial" w:cs="Arial" w:hAnsi="Arial"/>
          <w:sz w:val="22"/>
        </w:rPr>
        <w:t>：① 落地方式：AIGNE 框架通过核心模块实现架构落地：- AFS（智能体文件系统）：提供统一的文件操作 API（读写、搜索、元数据管理），实现异构资源的挂载与访问；- SystemFS：实现虚拟文件系统，支持嵌套目录导航、沙箱化访问、高效内容搜索（集成 ripgrep）；- 内存模块与流水线组件：内置 DefaultMemory、UserProfileMemory 等模块，以及构造器、更新器、评估器的开箱即用实现，支持多主流 LLM 集成；② 典型应用场景：- 场景 1：带持久化内存的智能体（如客服机器人），跨会话保留用户偏好与历史交互，实现个性化连贯服务；- 场景 2：第三方工具集成（如 GitHub MCP 助手），将外部服务挂载为 AFS 模块，智能体通过文件操作调用工具功能，简化集成流程；- 场景 3：工业级 GenAI 推理系统（如药物研发、决策支持），需上下文可追溯、合规审计，依赖架构的治理与可验证能力。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附录：万物皆为上下文：智能体文件系统抽象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核心理念：从Unix到AIGNE</w:t>
      </w:r>
      <w:bookmarkEnd w:id="2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Unix哲学的启发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Unix核心原则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"一切皆文件 (Everything is a File)"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Unix的智慧</w:t>
      </w:r>
      <w:r>
        <w:rPr>
          <w:rFonts w:eastAsia="等线" w:ascii="Arial" w:cs="Arial" w:hAnsi="Arial"/>
          <w:sz w:val="22"/>
        </w:rPr>
        <w:t>-一抽象接口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简单而强大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可组合性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普适性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Unix文件系统的优势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设备 → 文件</w:t>
              <w:br/>
              <w:t>进程 → 文件</w:t>
              <w:br/>
              <w:t>网络 → 文件</w:t>
              <w:br/>
              <w:t>配置 → 文件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统一接口: open(), read(), write(), close()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AIGNE的创新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核心理念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"万物皆为上下文 (Everything is Context)"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AIGNE的愿景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将Unix"一切皆文件"理念应用到AI上下文工程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统一抽象所有上下文资源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提供标准化的上下文管理接口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解决GenAI上下文工程的碎片化问题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类比映射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Unix文件系统 → AIGNE上下文系统</w:t>
              <w:br/>
              <w:t>文件 → 上下文资源</w:t>
              <w:br/>
              <w:t>目录 → 上下文命名空间</w:t>
              <w:br/>
              <w:t>路径 → 上下文标识符</w:t>
              <w:br/>
              <w:t>权限 → 访问控制</w:t>
              <w:br/>
              <w:t>元数据 → 上下文属性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统一接口: mount(), read(), write(), update()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3341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956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716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338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80043">
    <w:lvl>
      <w:start w:val="1"/>
      <w:numFmt w:val="decimal"/>
      <w:suff w:val="tab"/>
      <w:lvlText w:val="%1."/>
      <w:rPr>
        <w:color w:val="3370ff"/>
      </w:rPr>
    </w:lvl>
  </w:abstractNum>
  <w:abstractNum w:abstractNumId="580044">
    <w:lvl>
      <w:start w:val="2"/>
      <w:numFmt w:val="decimal"/>
      <w:suff w:val="tab"/>
      <w:lvlText w:val="%1."/>
      <w:rPr>
        <w:color w:val="3370ff"/>
      </w:rPr>
    </w:lvl>
  </w:abstractNum>
  <w:abstractNum w:abstractNumId="580045">
    <w:lvl>
      <w:numFmt w:val="bullet"/>
      <w:suff w:val="tab"/>
      <w:lvlText w:val="•"/>
      <w:rPr>
        <w:color w:val="3370ff"/>
      </w:rPr>
    </w:lvl>
  </w:abstractNum>
  <w:abstractNum w:abstractNumId="580046">
    <w:lvl>
      <w:numFmt w:val="bullet"/>
      <w:suff w:val="tab"/>
      <w:lvlText w:val="•"/>
      <w:rPr>
        <w:color w:val="3370ff"/>
      </w:rPr>
    </w:lvl>
  </w:abstractNum>
  <w:abstractNum w:abstractNumId="580047">
    <w:lvl>
      <w:start w:val="1"/>
      <w:numFmt w:val="decimal"/>
      <w:suff w:val="tab"/>
      <w:lvlText w:val="%1."/>
      <w:rPr>
        <w:color w:val="3370ff"/>
      </w:rPr>
    </w:lvl>
  </w:abstractNum>
  <w:abstractNum w:abstractNumId="580048">
    <w:lvl>
      <w:start w:val="2"/>
      <w:numFmt w:val="decimal"/>
      <w:suff w:val="tab"/>
      <w:lvlText w:val="%1."/>
      <w:rPr>
        <w:color w:val="3370ff"/>
      </w:rPr>
    </w:lvl>
  </w:abstractNum>
  <w:abstractNum w:abstractNumId="580049">
    <w:lvl>
      <w:numFmt w:val="bullet"/>
      <w:suff w:val="tab"/>
      <w:lvlText w:val="￮"/>
      <w:rPr>
        <w:color w:val="3370ff"/>
      </w:rPr>
    </w:lvl>
  </w:abstractNum>
  <w:abstractNum w:abstractNumId="580050">
    <w:lvl>
      <w:numFmt w:val="bullet"/>
      <w:suff w:val="tab"/>
      <w:lvlText w:val="￮"/>
      <w:rPr>
        <w:color w:val="3370ff"/>
      </w:rPr>
    </w:lvl>
  </w:abstractNum>
  <w:abstractNum w:abstractNumId="580051">
    <w:lvl>
      <w:numFmt w:val="bullet"/>
      <w:suff w:val="tab"/>
      <w:lvlText w:val="￮"/>
      <w:rPr>
        <w:color w:val="3370ff"/>
      </w:rPr>
    </w:lvl>
  </w:abstractNum>
  <w:abstractNum w:abstractNumId="580052">
    <w:lvl>
      <w:numFmt w:val="bullet"/>
      <w:suff w:val="tab"/>
      <w:lvlText w:val="￮"/>
      <w:rPr>
        <w:color w:val="3370ff"/>
      </w:rPr>
    </w:lvl>
  </w:abstractNum>
  <w:abstractNum w:abstractNumId="580053">
    <w:lvl>
      <w:numFmt w:val="bullet"/>
      <w:suff w:val="tab"/>
      <w:lvlText w:val="￮"/>
      <w:rPr>
        <w:color w:val="3370ff"/>
      </w:rPr>
    </w:lvl>
  </w:abstractNum>
  <w:abstractNum w:abstractNumId="580054">
    <w:lvl>
      <w:numFmt w:val="bullet"/>
      <w:suff w:val="tab"/>
      <w:lvlText w:val="•"/>
      <w:rPr>
        <w:color w:val="3370ff"/>
      </w:rPr>
    </w:lvl>
  </w:abstractNum>
  <w:abstractNum w:abstractNumId="580055">
    <w:lvl>
      <w:numFmt w:val="bullet"/>
      <w:suff w:val="tab"/>
      <w:lvlText w:val="•"/>
      <w:rPr>
        <w:color w:val="3370ff"/>
      </w:rPr>
    </w:lvl>
  </w:abstractNum>
  <w:abstractNum w:abstractNumId="580056">
    <w:lvl>
      <w:start w:val="1"/>
      <w:numFmt w:val="decimal"/>
      <w:suff w:val="tab"/>
      <w:lvlText w:val="%1."/>
      <w:rPr>
        <w:color w:val="3370ff"/>
      </w:rPr>
    </w:lvl>
  </w:abstractNum>
  <w:abstractNum w:abstractNumId="580057">
    <w:lvl>
      <w:numFmt w:val="bullet"/>
      <w:suff w:val="tab"/>
      <w:lvlText w:val="￮"/>
      <w:rPr>
        <w:color w:val="3370ff"/>
      </w:rPr>
    </w:lvl>
  </w:abstractNum>
  <w:abstractNum w:abstractNumId="580058">
    <w:lvl>
      <w:numFmt w:val="bullet"/>
      <w:suff w:val="tab"/>
      <w:lvlText w:val="￮"/>
      <w:rPr>
        <w:color w:val="3370ff"/>
      </w:rPr>
    </w:lvl>
  </w:abstractNum>
  <w:abstractNum w:abstractNumId="580059">
    <w:lvl>
      <w:numFmt w:val="bullet"/>
      <w:suff w:val="tab"/>
      <w:lvlText w:val="￮"/>
      <w:rPr>
        <w:color w:val="3370ff"/>
      </w:rPr>
    </w:lvl>
  </w:abstractNum>
  <w:abstractNum w:abstractNumId="580060">
    <w:lvl>
      <w:start w:val="2"/>
      <w:numFmt w:val="decimal"/>
      <w:suff w:val="tab"/>
      <w:lvlText w:val="%1."/>
      <w:rPr>
        <w:color w:val="3370ff"/>
      </w:rPr>
    </w:lvl>
  </w:abstractNum>
  <w:abstractNum w:abstractNumId="580061">
    <w:lvl>
      <w:numFmt w:val="bullet"/>
      <w:suff w:val="tab"/>
      <w:lvlText w:val="￮"/>
      <w:rPr>
        <w:color w:val="3370ff"/>
      </w:rPr>
    </w:lvl>
  </w:abstractNum>
  <w:abstractNum w:abstractNumId="580062">
    <w:lvl>
      <w:numFmt w:val="bullet"/>
      <w:suff w:val="tab"/>
      <w:lvlText w:val="￮"/>
      <w:rPr>
        <w:color w:val="3370ff"/>
      </w:rPr>
    </w:lvl>
  </w:abstractNum>
  <w:abstractNum w:abstractNumId="580063">
    <w:lvl>
      <w:numFmt w:val="bullet"/>
      <w:suff w:val="tab"/>
      <w:lvlText w:val="￮"/>
      <w:rPr>
        <w:color w:val="3370ff"/>
      </w:rPr>
    </w:lvl>
  </w:abstractNum>
  <w:abstractNum w:abstractNumId="580064">
    <w:lvl>
      <w:start w:val="1"/>
      <w:numFmt w:val="decimal"/>
      <w:suff w:val="tab"/>
      <w:lvlText w:val="%1."/>
      <w:rPr>
        <w:color w:val="3370ff"/>
      </w:rPr>
    </w:lvl>
  </w:abstractNum>
  <w:abstractNum w:abstractNumId="580065">
    <w:lvl>
      <w:start w:val="2"/>
      <w:numFmt w:val="decimal"/>
      <w:suff w:val="tab"/>
      <w:lvlText w:val="%1."/>
      <w:rPr>
        <w:color w:val="3370ff"/>
      </w:rPr>
    </w:lvl>
  </w:abstractNum>
  <w:abstractNum w:abstractNumId="580066">
    <w:lvl>
      <w:start w:val="3"/>
      <w:numFmt w:val="decimal"/>
      <w:suff w:val="tab"/>
      <w:lvlText w:val="%1."/>
      <w:rPr>
        <w:color w:val="3370ff"/>
      </w:rPr>
    </w:lvl>
  </w:abstractNum>
  <w:abstractNum w:abstractNumId="580067">
    <w:lvl>
      <w:start w:val="1"/>
      <w:numFmt w:val="decimal"/>
      <w:suff w:val="tab"/>
      <w:lvlText w:val="%1."/>
      <w:rPr>
        <w:color w:val="3370ff"/>
      </w:rPr>
    </w:lvl>
  </w:abstractNum>
  <w:abstractNum w:abstractNumId="580068">
    <w:lvl>
      <w:numFmt w:val="bullet"/>
      <w:suff w:val="tab"/>
      <w:lvlText w:val="￮"/>
      <w:rPr>
        <w:color w:val="3370ff"/>
      </w:rPr>
    </w:lvl>
  </w:abstractNum>
  <w:abstractNum w:abstractNumId="580069">
    <w:lvl>
      <w:numFmt w:val="bullet"/>
      <w:suff w:val="tab"/>
      <w:lvlText w:val="￮"/>
      <w:rPr>
        <w:color w:val="3370ff"/>
      </w:rPr>
    </w:lvl>
  </w:abstractNum>
  <w:abstractNum w:abstractNumId="580070">
    <w:lvl>
      <w:numFmt w:val="bullet"/>
      <w:suff w:val="tab"/>
      <w:lvlText w:val="￮"/>
      <w:rPr>
        <w:color w:val="3370ff"/>
      </w:rPr>
    </w:lvl>
  </w:abstractNum>
  <w:abstractNum w:abstractNumId="580071">
    <w:lvl>
      <w:start w:val="2"/>
      <w:numFmt w:val="decimal"/>
      <w:suff w:val="tab"/>
      <w:lvlText w:val="%1."/>
      <w:rPr>
        <w:color w:val="3370ff"/>
      </w:rPr>
    </w:lvl>
  </w:abstractNum>
  <w:abstractNum w:abstractNumId="580072">
    <w:lvl>
      <w:numFmt w:val="bullet"/>
      <w:suff w:val="tab"/>
      <w:lvlText w:val="￮"/>
      <w:rPr>
        <w:color w:val="3370ff"/>
      </w:rPr>
    </w:lvl>
  </w:abstractNum>
  <w:abstractNum w:abstractNumId="580073">
    <w:lvl>
      <w:numFmt w:val="bullet"/>
      <w:suff w:val="tab"/>
      <w:lvlText w:val="￮"/>
      <w:rPr>
        <w:color w:val="3370ff"/>
      </w:rPr>
    </w:lvl>
  </w:abstractNum>
  <w:abstractNum w:abstractNumId="580074">
    <w:lvl>
      <w:numFmt w:val="bullet"/>
      <w:suff w:val="tab"/>
      <w:lvlText w:val="￮"/>
      <w:rPr>
        <w:color w:val="3370ff"/>
      </w:rPr>
    </w:lvl>
  </w:abstractNum>
  <w:abstractNum w:abstractNumId="580075">
    <w:lvl>
      <w:numFmt w:val="bullet"/>
      <w:suff w:val="tab"/>
      <w:lvlText w:val="￮"/>
      <w:rPr>
        <w:color w:val="3370ff"/>
      </w:rPr>
    </w:lvl>
  </w:abstractNum>
  <w:abstractNum w:abstractNumId="580076">
    <w:lvl>
      <w:numFmt w:val="bullet"/>
      <w:suff w:val="tab"/>
      <w:lvlText w:val="￮"/>
      <w:rPr>
        <w:color w:val="3370ff"/>
      </w:rPr>
    </w:lvl>
  </w:abstractNum>
  <w:abstractNum w:abstractNumId="580077">
    <w:lvl>
      <w:numFmt w:val="bullet"/>
      <w:suff w:val="tab"/>
      <w:lvlText w:val="￮"/>
      <w:rPr>
        <w:color w:val="3370ff"/>
      </w:rPr>
    </w:lvl>
  </w:abstractNum>
  <w:abstractNum w:abstractNumId="580078">
    <w:lvl>
      <w:start w:val="1"/>
      <w:numFmt w:val="decimal"/>
      <w:suff w:val="tab"/>
      <w:lvlText w:val="%1."/>
      <w:rPr>
        <w:color w:val="3370ff"/>
      </w:rPr>
    </w:lvl>
  </w:abstractNum>
  <w:abstractNum w:abstractNumId="580079">
    <w:lvl>
      <w:start w:val="1"/>
      <w:numFmt w:val="decimal"/>
      <w:suff w:val="tab"/>
      <w:lvlText w:val="%1."/>
      <w:rPr>
        <w:color w:val="3370ff"/>
      </w:rPr>
    </w:lvl>
  </w:abstractNum>
  <w:abstractNum w:abstractNumId="580080">
    <w:lvl>
      <w:numFmt w:val="bullet"/>
      <w:suff w:val="tab"/>
      <w:lvlText w:val="￮"/>
      <w:rPr>
        <w:color w:val="3370ff"/>
      </w:rPr>
    </w:lvl>
  </w:abstractNum>
  <w:abstractNum w:abstractNumId="580081">
    <w:lvl>
      <w:numFmt w:val="bullet"/>
      <w:suff w:val="tab"/>
      <w:lvlText w:val="￮"/>
      <w:rPr>
        <w:color w:val="3370ff"/>
      </w:rPr>
    </w:lvl>
  </w:abstractNum>
  <w:abstractNum w:abstractNumId="580082">
    <w:lvl>
      <w:start w:val="2"/>
      <w:numFmt w:val="decimal"/>
      <w:suff w:val="tab"/>
      <w:lvlText w:val="%1."/>
      <w:rPr>
        <w:color w:val="3370ff"/>
      </w:rPr>
    </w:lvl>
  </w:abstractNum>
  <w:abstractNum w:abstractNumId="580083">
    <w:lvl>
      <w:numFmt w:val="bullet"/>
      <w:suff w:val="tab"/>
      <w:lvlText w:val="•"/>
      <w:rPr>
        <w:color w:val="3370ff"/>
      </w:rPr>
    </w:lvl>
  </w:abstractNum>
  <w:abstractNum w:abstractNumId="580084">
    <w:lvl>
      <w:numFmt w:val="bullet"/>
      <w:suff w:val="tab"/>
      <w:lvlText w:val="•"/>
      <w:rPr>
        <w:color w:val="3370ff"/>
      </w:rPr>
    </w:lvl>
  </w:abstractNum>
  <w:abstractNum w:abstractNumId="580085">
    <w:lvl>
      <w:numFmt w:val="bullet"/>
      <w:suff w:val="tab"/>
      <w:lvlText w:val="•"/>
      <w:rPr>
        <w:color w:val="3370ff"/>
      </w:rPr>
    </w:lvl>
  </w:abstractNum>
  <w:abstractNum w:abstractNumId="580086">
    <w:lvl>
      <w:numFmt w:val="bullet"/>
      <w:suff w:val="tab"/>
      <w:lvlText w:val="•"/>
      <w:rPr>
        <w:color w:val="3370ff"/>
      </w:rPr>
    </w:lvl>
  </w:abstractNum>
  <w:abstractNum w:abstractNumId="580087">
    <w:lvl>
      <w:numFmt w:val="bullet"/>
      <w:suff w:val="tab"/>
      <w:lvlText w:val="•"/>
      <w:rPr>
        <w:color w:val="3370ff"/>
      </w:rPr>
    </w:lvl>
  </w:abstractNum>
  <w:abstractNum w:abstractNumId="580088">
    <w:lvl>
      <w:numFmt w:val="bullet"/>
      <w:suff w:val="tab"/>
      <w:lvlText w:val="•"/>
      <w:rPr>
        <w:color w:val="3370ff"/>
      </w:rPr>
    </w:lvl>
  </w:abstractNum>
  <w:abstractNum w:abstractNumId="580089">
    <w:lvl>
      <w:numFmt w:val="bullet"/>
      <w:suff w:val="tab"/>
      <w:lvlText w:val="•"/>
      <w:rPr>
        <w:color w:val="3370ff"/>
      </w:rPr>
    </w:lvl>
  </w:abstractNum>
  <w:abstractNum w:abstractNumId="580090">
    <w:lvl>
      <w:numFmt w:val="bullet"/>
      <w:suff w:val="tab"/>
      <w:lvlText w:val="•"/>
      <w:rPr>
        <w:color w:val="3370ff"/>
      </w:rPr>
    </w:lvl>
  </w:abstractNum>
  <w:abstractNum w:abstractNumId="580091">
    <w:lvl>
      <w:numFmt w:val="bullet"/>
      <w:suff w:val="tab"/>
      <w:lvlText w:val="•"/>
      <w:rPr>
        <w:color w:val="3370ff"/>
      </w:rPr>
    </w:lvl>
  </w:abstractNum>
  <w:abstractNum w:abstractNumId="580092">
    <w:lvl>
      <w:numFmt w:val="bullet"/>
      <w:suff w:val="tab"/>
      <w:lvlText w:val="•"/>
      <w:rPr>
        <w:color w:val="3370ff"/>
      </w:rPr>
    </w:lvl>
  </w:abstractNum>
  <w:abstractNum w:abstractNumId="580093">
    <w:lvl>
      <w:start w:val="1"/>
      <w:numFmt w:val="lowerLetter"/>
      <w:suff w:val="tab"/>
      <w:lvlText w:val="%1."/>
      <w:rPr>
        <w:color w:val="3370ff"/>
      </w:rPr>
    </w:lvl>
  </w:abstractNum>
  <w:abstractNum w:abstractNumId="580094">
    <w:lvl>
      <w:start w:val="2"/>
      <w:numFmt w:val="lowerLetter"/>
      <w:suff w:val="tab"/>
      <w:lvlText w:val="%1."/>
      <w:rPr>
        <w:color w:val="3370ff"/>
      </w:rPr>
    </w:lvl>
  </w:abstractNum>
  <w:abstractNum w:abstractNumId="580095">
    <w:lvl>
      <w:start w:val="3"/>
      <w:numFmt w:val="lowerLetter"/>
      <w:suff w:val="tab"/>
      <w:lvlText w:val="%1."/>
      <w:rPr>
        <w:color w:val="3370ff"/>
      </w:rPr>
    </w:lvl>
  </w:abstractNum>
  <w:abstractNum w:abstractNumId="580096">
    <w:lvl>
      <w:start w:val="4"/>
      <w:numFmt w:val="lowerLetter"/>
      <w:suff w:val="tab"/>
      <w:lvlText w:val="%1."/>
      <w:rPr>
        <w:color w:val="3370ff"/>
      </w:rPr>
    </w:lvl>
  </w:abstractNum>
  <w:abstractNum w:abstractNumId="580097">
    <w:lvl>
      <w:numFmt w:val="bullet"/>
      <w:suff w:val="tab"/>
      <w:lvlText w:val="•"/>
      <w:rPr>
        <w:color w:val="3370ff"/>
      </w:rPr>
    </w:lvl>
  </w:abstractNum>
  <w:abstractNum w:abstractNumId="580098">
    <w:lvl>
      <w:numFmt w:val="bullet"/>
      <w:suff w:val="tab"/>
      <w:lvlText w:val="•"/>
      <w:rPr>
        <w:color w:val="3370ff"/>
      </w:rPr>
    </w:lvl>
  </w:abstractNum>
  <w:abstractNum w:abstractNumId="580099">
    <w:lvl>
      <w:start w:val="1"/>
      <w:numFmt w:val="lowerLetter"/>
      <w:suff w:val="tab"/>
      <w:lvlText w:val="%1."/>
      <w:rPr>
        <w:color w:val="3370ff"/>
      </w:rPr>
    </w:lvl>
  </w:abstractNum>
  <w:abstractNum w:abstractNumId="580100">
    <w:lvl>
      <w:start w:val="2"/>
      <w:numFmt w:val="lowerLetter"/>
      <w:suff w:val="tab"/>
      <w:lvlText w:val="%1."/>
      <w:rPr>
        <w:color w:val="3370ff"/>
      </w:rPr>
    </w:lvl>
  </w:abstractNum>
  <w:abstractNum w:abstractNumId="580101">
    <w:lvl>
      <w:start w:val="3"/>
      <w:numFmt w:val="lowerLetter"/>
      <w:suff w:val="tab"/>
      <w:lvlText w:val="%1."/>
      <w:rPr>
        <w:color w:val="3370ff"/>
      </w:rPr>
    </w:lvl>
  </w:abstractNum>
  <w:abstractNum w:abstractNumId="580102">
    <w:lvl>
      <w:start w:val="4"/>
      <w:numFmt w:val="lowerLetter"/>
      <w:suff w:val="tab"/>
      <w:lvlText w:val="%1."/>
      <w:rPr>
        <w:color w:val="3370ff"/>
      </w:rPr>
    </w:lvl>
  </w:abstractNum>
  <w:abstractNum w:abstractNumId="580103">
    <w:lvl>
      <w:start w:val="1"/>
      <w:numFmt w:val="decimal"/>
      <w:suff w:val="tab"/>
      <w:lvlText w:val="%1."/>
      <w:rPr>
        <w:color w:val="3370ff"/>
      </w:rPr>
    </w:lvl>
  </w:abstractNum>
  <w:abstractNum w:abstractNumId="580104">
    <w:lvl>
      <w:start w:val="2"/>
      <w:numFmt w:val="decimal"/>
      <w:suff w:val="tab"/>
      <w:lvlText w:val="%1."/>
      <w:rPr>
        <w:color w:val="3370ff"/>
      </w:rPr>
    </w:lvl>
  </w:abstractNum>
  <w:abstractNum w:abstractNumId="580105">
    <w:lvl>
      <w:start w:val="3"/>
      <w:numFmt w:val="decimal"/>
      <w:suff w:val="tab"/>
      <w:lvlText w:val="%1."/>
      <w:rPr>
        <w:color w:val="3370ff"/>
      </w:rPr>
    </w:lvl>
  </w:abstractNum>
  <w:abstractNum w:abstractNumId="580106">
    <w:lvl>
      <w:numFmt w:val="bullet"/>
      <w:suff w:val="tab"/>
      <w:lvlText w:val="•"/>
      <w:rPr>
        <w:color w:val="3370ff"/>
      </w:rPr>
    </w:lvl>
  </w:abstractNum>
  <w:abstractNum w:abstractNumId="580107">
    <w:lvl>
      <w:numFmt w:val="bullet"/>
      <w:suff w:val="tab"/>
      <w:lvlText w:val="•"/>
      <w:rPr>
        <w:color w:val="3370ff"/>
      </w:rPr>
    </w:lvl>
  </w:abstractNum>
  <w:abstractNum w:abstractNumId="580108">
    <w:lvl>
      <w:numFmt w:val="bullet"/>
      <w:suff w:val="tab"/>
      <w:lvlText w:val="•"/>
      <w:rPr>
        <w:color w:val="3370ff"/>
      </w:rPr>
    </w:lvl>
  </w:abstractNum>
  <w:abstractNum w:abstractNumId="580109">
    <w:lvl>
      <w:start w:val="1"/>
      <w:numFmt w:val="decimal"/>
      <w:suff w:val="tab"/>
      <w:lvlText w:val="%1."/>
      <w:rPr>
        <w:color w:val="3370ff"/>
      </w:rPr>
    </w:lvl>
  </w:abstractNum>
  <w:abstractNum w:abstractNumId="580110">
    <w:lvl>
      <w:start w:val="2"/>
      <w:numFmt w:val="decimal"/>
      <w:suff w:val="tab"/>
      <w:lvlText w:val="%1."/>
      <w:rPr>
        <w:color w:val="3370ff"/>
      </w:rPr>
    </w:lvl>
  </w:abstractNum>
  <w:abstractNum w:abstractNumId="580111">
    <w:lvl>
      <w:numFmt w:val="bullet"/>
      <w:suff w:val="tab"/>
      <w:lvlText w:val="￮"/>
      <w:rPr>
        <w:color w:val="3370ff"/>
      </w:rPr>
    </w:lvl>
  </w:abstractNum>
  <w:abstractNum w:abstractNumId="580112">
    <w:lvl>
      <w:numFmt w:val="bullet"/>
      <w:suff w:val="tab"/>
      <w:lvlText w:val="￮"/>
      <w:rPr>
        <w:color w:val="3370ff"/>
      </w:rPr>
    </w:lvl>
  </w:abstractNum>
  <w:abstractNum w:abstractNumId="580113">
    <w:lvl>
      <w:numFmt w:val="bullet"/>
      <w:suff w:val="tab"/>
      <w:lvlText w:val="•"/>
      <w:rPr>
        <w:color w:val="3370ff"/>
      </w:rPr>
    </w:lvl>
  </w:abstractNum>
  <w:abstractNum w:abstractNumId="580114">
    <w:lvl>
      <w:numFmt w:val="bullet"/>
      <w:suff w:val="tab"/>
      <w:lvlText w:val="•"/>
      <w:rPr>
        <w:color w:val="3370ff"/>
      </w:rPr>
    </w:lvl>
  </w:abstractNum>
  <w:abstractNum w:abstractNumId="580115">
    <w:lvl>
      <w:numFmt w:val="bullet"/>
      <w:suff w:val="tab"/>
      <w:lvlText w:val="•"/>
      <w:rPr>
        <w:color w:val="3370ff"/>
      </w:rPr>
    </w:lvl>
  </w:abstractNum>
  <w:abstractNum w:abstractNumId="580116">
    <w:lvl>
      <w:numFmt w:val="bullet"/>
      <w:suff w:val="tab"/>
      <w:lvlText w:val="•"/>
      <w:rPr>
        <w:color w:val="3370ff"/>
      </w:rPr>
    </w:lvl>
  </w:abstractNum>
  <w:abstractNum w:abstractNumId="580117">
    <w:lvl>
      <w:numFmt w:val="bullet"/>
      <w:suff w:val="tab"/>
      <w:lvlText w:val="•"/>
      <w:rPr>
        <w:color w:val="3370ff"/>
      </w:rPr>
    </w:lvl>
  </w:abstractNum>
  <w:abstractNum w:abstractNumId="580118">
    <w:lvl>
      <w:numFmt w:val="bullet"/>
      <w:suff w:val="tab"/>
      <w:lvlText w:val="•"/>
      <w:rPr>
        <w:color w:val="3370ff"/>
      </w:rPr>
    </w:lvl>
  </w:abstractNum>
  <w:abstractNum w:abstractNumId="580119">
    <w:lvl>
      <w:numFmt w:val="bullet"/>
      <w:suff w:val="tab"/>
      <w:lvlText w:val="•"/>
      <w:rPr>
        <w:color w:val="3370ff"/>
      </w:rPr>
    </w:lvl>
  </w:abstractNum>
  <w:num w:numId="1">
    <w:abstractNumId w:val="580043"/>
  </w:num>
  <w:num w:numId="2">
    <w:abstractNumId w:val="580044"/>
  </w:num>
  <w:num w:numId="3">
    <w:abstractNumId w:val="580045"/>
  </w:num>
  <w:num w:numId="4">
    <w:abstractNumId w:val="580046"/>
  </w:num>
  <w:num w:numId="5">
    <w:abstractNumId w:val="580047"/>
  </w:num>
  <w:num w:numId="6">
    <w:abstractNumId w:val="580048"/>
  </w:num>
  <w:num w:numId="7">
    <w:abstractNumId w:val="580049"/>
  </w:num>
  <w:num w:numId="8">
    <w:abstractNumId w:val="580050"/>
  </w:num>
  <w:num w:numId="9">
    <w:abstractNumId w:val="580051"/>
  </w:num>
  <w:num w:numId="10">
    <w:abstractNumId w:val="580052"/>
  </w:num>
  <w:num w:numId="11">
    <w:abstractNumId w:val="580053"/>
  </w:num>
  <w:num w:numId="12">
    <w:abstractNumId w:val="580054"/>
  </w:num>
  <w:num w:numId="13">
    <w:abstractNumId w:val="580055"/>
  </w:num>
  <w:num w:numId="14">
    <w:abstractNumId w:val="580056"/>
  </w:num>
  <w:num w:numId="15">
    <w:abstractNumId w:val="580057"/>
  </w:num>
  <w:num w:numId="16">
    <w:abstractNumId w:val="580058"/>
  </w:num>
  <w:num w:numId="17">
    <w:abstractNumId w:val="580059"/>
  </w:num>
  <w:num w:numId="18">
    <w:abstractNumId w:val="580060"/>
  </w:num>
  <w:num w:numId="19">
    <w:abstractNumId w:val="580061"/>
  </w:num>
  <w:num w:numId="20">
    <w:abstractNumId w:val="580062"/>
  </w:num>
  <w:num w:numId="21">
    <w:abstractNumId w:val="580063"/>
  </w:num>
  <w:num w:numId="22">
    <w:abstractNumId w:val="580064"/>
  </w:num>
  <w:num w:numId="23">
    <w:abstractNumId w:val="580065"/>
  </w:num>
  <w:num w:numId="24">
    <w:abstractNumId w:val="580066"/>
  </w:num>
  <w:num w:numId="25">
    <w:abstractNumId w:val="580067"/>
  </w:num>
  <w:num w:numId="26">
    <w:abstractNumId w:val="580068"/>
  </w:num>
  <w:num w:numId="27">
    <w:abstractNumId w:val="580069"/>
  </w:num>
  <w:num w:numId="28">
    <w:abstractNumId w:val="580070"/>
  </w:num>
  <w:num w:numId="29">
    <w:abstractNumId w:val="580071"/>
  </w:num>
  <w:num w:numId="30">
    <w:abstractNumId w:val="580072"/>
  </w:num>
  <w:num w:numId="31">
    <w:abstractNumId w:val="580073"/>
  </w:num>
  <w:num w:numId="32">
    <w:abstractNumId w:val="580074"/>
  </w:num>
  <w:num w:numId="33">
    <w:abstractNumId w:val="580075"/>
  </w:num>
  <w:num w:numId="34">
    <w:abstractNumId w:val="580076"/>
  </w:num>
  <w:num w:numId="35">
    <w:abstractNumId w:val="580077"/>
  </w:num>
  <w:num w:numId="36">
    <w:abstractNumId w:val="580078"/>
  </w:num>
  <w:num w:numId="37">
    <w:abstractNumId w:val="580079"/>
  </w:num>
  <w:num w:numId="38">
    <w:abstractNumId w:val="580080"/>
  </w:num>
  <w:num w:numId="39">
    <w:abstractNumId w:val="580081"/>
  </w:num>
  <w:num w:numId="40">
    <w:abstractNumId w:val="580082"/>
  </w:num>
  <w:num w:numId="41">
    <w:abstractNumId w:val="580083"/>
  </w:num>
  <w:num w:numId="42">
    <w:abstractNumId w:val="580084"/>
  </w:num>
  <w:num w:numId="43">
    <w:abstractNumId w:val="580085"/>
  </w:num>
  <w:num w:numId="44">
    <w:abstractNumId w:val="580086"/>
  </w:num>
  <w:num w:numId="45">
    <w:abstractNumId w:val="580087"/>
  </w:num>
  <w:num w:numId="46">
    <w:abstractNumId w:val="580088"/>
  </w:num>
  <w:num w:numId="47">
    <w:abstractNumId w:val="580089"/>
  </w:num>
  <w:num w:numId="48">
    <w:abstractNumId w:val="580090"/>
  </w:num>
  <w:num w:numId="49">
    <w:abstractNumId w:val="580091"/>
  </w:num>
  <w:num w:numId="50">
    <w:abstractNumId w:val="580092"/>
  </w:num>
  <w:num w:numId="51">
    <w:abstractNumId w:val="580093"/>
  </w:num>
  <w:num w:numId="52">
    <w:abstractNumId w:val="580094"/>
  </w:num>
  <w:num w:numId="53">
    <w:abstractNumId w:val="580095"/>
  </w:num>
  <w:num w:numId="54">
    <w:abstractNumId w:val="580096"/>
  </w:num>
  <w:num w:numId="55">
    <w:abstractNumId w:val="580097"/>
  </w:num>
  <w:num w:numId="56">
    <w:abstractNumId w:val="580098"/>
  </w:num>
  <w:num w:numId="57">
    <w:abstractNumId w:val="580099"/>
  </w:num>
  <w:num w:numId="58">
    <w:abstractNumId w:val="580100"/>
  </w:num>
  <w:num w:numId="59">
    <w:abstractNumId w:val="580101"/>
  </w:num>
  <w:num w:numId="60">
    <w:abstractNumId w:val="580102"/>
  </w:num>
  <w:num w:numId="61">
    <w:abstractNumId w:val="580103"/>
  </w:num>
  <w:num w:numId="62">
    <w:abstractNumId w:val="580104"/>
  </w:num>
  <w:num w:numId="63">
    <w:abstractNumId w:val="580105"/>
  </w:num>
  <w:num w:numId="64">
    <w:abstractNumId w:val="580106"/>
  </w:num>
  <w:num w:numId="65">
    <w:abstractNumId w:val="580107"/>
  </w:num>
  <w:num w:numId="66">
    <w:abstractNumId w:val="580108"/>
  </w:num>
  <w:num w:numId="67">
    <w:abstractNumId w:val="580109"/>
  </w:num>
  <w:num w:numId="68">
    <w:abstractNumId w:val="580110"/>
  </w:num>
  <w:num w:numId="69">
    <w:abstractNumId w:val="580111"/>
  </w:num>
  <w:num w:numId="70">
    <w:abstractNumId w:val="580112"/>
  </w:num>
  <w:num w:numId="71">
    <w:abstractNumId w:val="580113"/>
  </w:num>
  <w:num w:numId="72">
    <w:abstractNumId w:val="580114"/>
  </w:num>
  <w:num w:numId="73">
    <w:abstractNumId w:val="580115"/>
  </w:num>
  <w:num w:numId="74">
    <w:abstractNumId w:val="580116"/>
  </w:num>
  <w:num w:numId="75">
    <w:abstractNumId w:val="580117"/>
  </w:num>
  <w:num w:numId="76">
    <w:abstractNumId w:val="580118"/>
  </w:num>
  <w:num w:numId="77">
    <w:abstractNumId w:val="58011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2.xlsx" Type="http://schemas.openxmlformats.org/officeDocument/2006/relationships/package"/><Relationship Id="rId11" Target="media/image5.png" Type="http://schemas.openxmlformats.org/officeDocument/2006/relationships/image"/><Relationship Id="rId12" Target="media/image6.png" Type="http://schemas.openxmlformats.org/officeDocument/2006/relationships/image"/><Relationship Id="rId13" Target="media/image7.png" Type="http://schemas.openxmlformats.org/officeDocument/2006/relationships/image"/><Relationship Id="rId14" Target="media/image8.png" Type="http://schemas.openxmlformats.org/officeDocument/2006/relationships/image"/><Relationship Id="rId15" Target="media/image9.png" Type="http://schemas.openxmlformats.org/officeDocument/2006/relationships/image"/><Relationship Id="rId16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numbering.xml" Type="http://schemas.openxmlformats.org/officeDocument/2006/relationships/numbering"/><Relationship Id="rId8" Target="embeddings/Microsoft_Excel_Worksheet1.xlsx" Type="http://schemas.openxmlformats.org/officeDocument/2006/relationships/package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2026-01-16T03:38:49Z</dcterms:created>
  <dc:creator>Apache POI</dc:creator>
</cp:coreProperties>
</file>