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TagRAG：标签引导的分层GraphRAG框架，效率提升14倍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 RAG 只能做「片段级」检索，回答全局性问题时容易漏掉跨文档信息。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GraphRAG 用「实体-社区-摘要」三元组实现全局推理，但代价极高：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实体抽取 + 社区检测 → 大量 LLM 调用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新文档进来 → 几乎要重建全图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小模型（≤7B）上效果断崖式下跌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TagRAG 的核心目标：在 </w:t>
      </w:r>
      <w:r>
        <w:rPr>
          <w:rFonts w:eastAsia="等线" w:ascii="Arial" w:cs="Arial" w:hAnsi="Arial"/>
          <w:b w:val="true"/>
          <w:sz w:val="22"/>
        </w:rPr>
        <w:t>低资源</w:t>
      </w:r>
      <w:r>
        <w:rPr>
          <w:rFonts w:eastAsia="等线" w:ascii="Arial" w:cs="Arial" w:hAnsi="Arial"/>
          <w:sz w:val="22"/>
        </w:rPr>
        <w:t xml:space="preserve"> 场景下，也能 </w:t>
      </w:r>
      <w:r>
        <w:rPr>
          <w:rFonts w:eastAsia="等线" w:ascii="Arial" w:cs="Arial" w:hAnsi="Arial"/>
          <w:b w:val="true"/>
          <w:sz w:val="22"/>
        </w:rPr>
        <w:t>快速构建、快速检索、快速增量</w:t>
      </w:r>
      <w:r>
        <w:rPr>
          <w:rFonts w:eastAsia="等线" w:ascii="Arial" w:cs="Arial" w:hAnsi="Arial"/>
          <w:sz w:val="22"/>
        </w:rPr>
        <w:t>，同时保持全局视野。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方案概览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两阶段流水线：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Tag Knowledge Graph Construction（离线）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Tag-guided Retrieval-Augmented Generation（在线）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标签知识图谱构建（离线）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① 对象标签提取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把文档切成 1 200 token、重叠 100 token 的 chunk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LLM 抽取「对象标签」（关键词 + 一句话描述）</w:t>
        <w:br/>
      </w:r>
      <w:r>
        <w:rPr>
          <w:rFonts w:eastAsia="等线" w:ascii="Arial" w:cs="Arial" w:hAnsi="Arial"/>
          <w:sz w:val="22"/>
        </w:rPr>
        <w:t>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对象标签：Apache Spark</w:t>
              <w:br/>
            </w:r>
            <w:r>
              <w:rPr>
                <w:rFonts w:eastAsia="Consolas" w:ascii="Consolas" w:cs="Consolas" w:hAnsi="Consolas"/>
                <w:sz w:val="22"/>
              </w:rPr>
              <w:t>描述：一个为低延迟作业优化的分布式计算框架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623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② 领域标签链组织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预置「根领域标签」（如 Computer Science）。</w:t>
        <w:br/>
      </w:r>
      <w:r>
        <w:rPr>
          <w:rFonts w:eastAsia="等线" w:ascii="Arial" w:cs="Arial" w:hAnsi="Arial"/>
          <w:sz w:val="22"/>
        </w:rPr>
        <w:t xml:space="preserve">让 LLM 把对象标签挂到根节点下，生成一条 </w:t>
      </w:r>
      <w:r>
        <w:rPr>
          <w:rFonts w:eastAsia="等线" w:ascii="Arial" w:cs="Arial" w:hAnsi="Arial"/>
          <w:b w:val="true"/>
          <w:sz w:val="22"/>
        </w:rPr>
        <w:t>自顶向下</w:t>
      </w:r>
      <w:r>
        <w:rPr>
          <w:rFonts w:eastAsia="等线" w:ascii="Arial" w:cs="Arial" w:hAnsi="Arial"/>
          <w:sz w:val="22"/>
        </w:rPr>
        <w:t xml:space="preserve"> 的 DAG 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Computer Science → Data Processing → Big Data → Apache Spark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多条链合并后得到一张 </w:t>
      </w:r>
      <w:r>
        <w:rPr>
          <w:rFonts w:eastAsia="等线" w:ascii="Arial" w:cs="Arial" w:hAnsi="Arial"/>
          <w:b w:val="true"/>
          <w:sz w:val="22"/>
        </w:rPr>
        <w:t>有向无环图</w:t>
      </w:r>
      <w:r>
        <w:rPr>
          <w:rFonts w:eastAsia="等线" w:ascii="Arial" w:cs="Arial" w:hAnsi="Arial"/>
          <w:sz w:val="22"/>
        </w:rPr>
        <w:t>，天然无环、无冗余。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81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③ 领域中心知识融合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对每条链上的「领域标签」，提前把链知识 + 下属对象标签一并摘要，生成 </w:t>
      </w:r>
      <w:r>
        <w:rPr>
          <w:rFonts w:eastAsia="等线" w:ascii="Arial" w:cs="Arial" w:hAnsi="Arial"/>
          <w:b w:val="true"/>
          <w:sz w:val="22"/>
        </w:rPr>
        <w:t>领域摘要</w:t>
      </w:r>
      <w:r>
        <w:rPr>
          <w:rFonts w:eastAsia="等线" w:ascii="Arial" w:cs="Arial" w:hAnsi="Arial"/>
          <w:sz w:val="22"/>
        </w:rPr>
        <w:t xml:space="preserve"> 并向量化。</w:t>
        <w:br/>
      </w:r>
      <w:r>
        <w:rPr>
          <w:rFonts w:eastAsia="等线" w:ascii="Arial" w:cs="Arial" w:hAnsi="Arial"/>
          <w:sz w:val="22"/>
        </w:rPr>
        <w:t>在线阶段直接做向量检索，省去实时计算。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④ 增量插入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新文档 → 提取新标签 → 挂到已有 DAG → 重新汇总同名领域标签摘要。</w:t>
        <w:br/>
      </w:r>
      <w:r>
        <w:rPr>
          <w:rFonts w:eastAsia="等线" w:ascii="Arial" w:cs="Arial" w:hAnsi="Arial"/>
          <w:sz w:val="22"/>
        </w:rPr>
        <w:t>无需像 GraphRAG 那样重新跑社区检测，</w:t>
      </w:r>
      <w:r>
        <w:rPr>
          <w:rFonts w:eastAsia="等线" w:ascii="Arial" w:cs="Arial" w:hAnsi="Arial"/>
          <w:b w:val="true"/>
          <w:sz w:val="22"/>
        </w:rPr>
        <w:t>增量耗时 &lt; 全量 1/10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标签引导的检索增强生成（在线）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① 领域中心知识检索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用户问题 → 向量检索 </w:t>
      </w:r>
      <w:r>
        <w:rPr>
          <w:rFonts w:eastAsia="等线" w:ascii="Arial" w:cs="Arial" w:hAnsi="Arial"/>
          <w:b w:val="true"/>
          <w:sz w:val="22"/>
        </w:rPr>
        <w:t>Top-k 领域摘要</w:t>
      </w:r>
      <w:r>
        <w:rPr>
          <w:rFonts w:eastAsia="等线" w:ascii="Arial" w:cs="Arial" w:hAnsi="Arial"/>
          <w:sz w:val="22"/>
        </w:rPr>
        <w:t>（k=3 默认）。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② 分层标签链整合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把检索到的领域标签所在 </w:t>
      </w:r>
      <w:r>
        <w:rPr>
          <w:rFonts w:eastAsia="等线" w:ascii="Arial" w:cs="Arial" w:hAnsi="Arial"/>
          <w:b w:val="true"/>
          <w:sz w:val="22"/>
        </w:rPr>
        <w:t>完整链</w:t>
      </w:r>
      <w:r>
        <w:rPr>
          <w:rFonts w:eastAsia="等线" w:ascii="Arial" w:cs="Arial" w:hAnsi="Arial"/>
          <w:sz w:val="22"/>
        </w:rPr>
        <w:t xml:space="preserve"> 一并拉回，获得更高层全局信息。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③ 标签知识融合生成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按重要性顺序把「领域摘要 → 链摘要」塞进 LLM 上下文，生成最终答案。</w:t>
        <w:br/>
      </w:r>
      <w:r>
        <w:rPr>
          <w:rFonts w:eastAsia="等线" w:ascii="Arial" w:cs="Arial" w:hAnsi="Arial"/>
          <w:sz w:val="22"/>
        </w:rPr>
        <w:t xml:space="preserve">全过程 </w:t>
      </w:r>
      <w:r>
        <w:rPr>
          <w:rFonts w:eastAsia="等线" w:ascii="Arial" w:cs="Arial" w:hAnsi="Arial"/>
          <w:b w:val="true"/>
          <w:sz w:val="22"/>
        </w:rPr>
        <w:t>无图遍历、无社区汇总</w:t>
      </w:r>
      <w:r>
        <w:rPr>
          <w:rFonts w:eastAsia="等线" w:ascii="Arial" w:cs="Arial" w:hAnsi="Arial"/>
          <w:sz w:val="22"/>
        </w:rPr>
        <w:t>，只做向量匹配 + 链拼接，毫秒级完成。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实验结果</w:t>
      </w:r>
      <w:bookmarkEnd w:id="1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5pt;mso-width-percent:0;mso-height-percent:0;mso-width-percent:0;mso-height-percent:0" type="#_x0000_t75" o:ole="">
            <v:imagedata r:id="rId13" o:title=""/>
          </v:shape>
          <o:OLEObject DrawAspect="Icon" ObjectID="_1718471219" ProgID="Excel.Sheet.12" ShapeID="_x0000_i1025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综合胜率 78.36 %（四域平均）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构建时间 ↓ 14.6×</w:t>
      </w:r>
      <w:r>
        <w:rPr>
          <w:rFonts w:eastAsia="等线" w:ascii="Arial" w:cs="Arial" w:hAnsi="Arial"/>
          <w:sz w:val="22"/>
        </w:rPr>
        <w:t>（对比 GraphRAG）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检索时间 ↓ 1.9×</w:t>
      </w:r>
      <w:r>
        <w:rPr>
          <w:rFonts w:eastAsia="等线" w:ascii="Arial" w:cs="Arial" w:hAnsi="Arial"/>
          <w:sz w:val="22"/>
        </w:rPr>
        <w:t>（对比 GraphRAG）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4B 模型打平 70B 零样本</w:t>
      </w:r>
      <w:r>
        <w:rPr>
          <w:rFonts w:eastAsia="等线" w:ascii="Arial" w:cs="Arial" w:hAnsi="Arial"/>
          <w:sz w:val="22"/>
        </w:rPr>
        <w:t>：小模型友好得到验证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292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结论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关键创新</w:t>
      </w:r>
      <w:bookmarkEnd w:id="1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自顶向下 DAG 链</w:t>
      </w:r>
      <w:r>
        <w:rPr>
          <w:rFonts w:eastAsia="等线" w:ascii="Arial" w:cs="Arial" w:hAnsi="Arial"/>
          <w:sz w:val="22"/>
        </w:rPr>
        <w:t>：取代 GraphRAG 的「实体-社区」二分结构，构建复杂度 O(N)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领域摘要预融合</w:t>
      </w:r>
      <w:r>
        <w:rPr>
          <w:rFonts w:eastAsia="等线" w:ascii="Arial" w:cs="Arial" w:hAnsi="Arial"/>
          <w:sz w:val="22"/>
        </w:rPr>
        <w:t>：把全局知识提前压缩到标签级，在线只做向量检索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小模型即插即用</w:t>
      </w:r>
      <w:r>
        <w:rPr>
          <w:rFonts w:eastAsia="等线" w:ascii="Arial" w:cs="Arial" w:hAnsi="Arial"/>
          <w:sz w:val="22"/>
        </w:rPr>
        <w:t>：结构化知识弥补参数量不足，在 1.7 B、4 B、7 B 上效果稳定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真·增量更新</w:t>
      </w:r>
      <w:r>
        <w:rPr>
          <w:rFonts w:eastAsia="等线" w:ascii="Arial" w:cs="Arial" w:hAnsi="Arial"/>
          <w:sz w:val="22"/>
        </w:rPr>
        <w:t>：新文档插入只需「挂链 + 重摘要」，无需全图重建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适用场景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专业问答：法律、医疗、金融等需要「全局总结」的垂直场景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企业知识库：文档持续新增，要求小时级更新、秒级问答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边缘部署：GPU 资源有限，仍希望保留 RAG 全局能力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当前局限</w:t>
      </w:r>
      <w:bookmarkEnd w:id="1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标签提取与链生成仍依赖 LLM 调用（成本 &amp; 可复现性）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仅支持文本，不支持图片、视频等多模态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根领域标签需人工预置（可扩展为自动发现，但论文未展开）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TagRAG 用「分层标签链」替代「实体-社区」范式，让全局 RAG 首次在 </w:t>
      </w:r>
      <w:r>
        <w:rPr>
          <w:rFonts w:eastAsia="等线" w:ascii="Arial" w:cs="Arial" w:hAnsi="Arial"/>
          <w:b w:val="true"/>
          <w:sz w:val="22"/>
        </w:rPr>
        <w:t>小模型 + 低资源 + 高动态</w:t>
      </w:r>
      <w:r>
        <w:rPr>
          <w:rFonts w:eastAsia="等线" w:ascii="Arial" w:cs="Arial" w:hAnsi="Arial"/>
          <w:sz w:val="22"/>
        </w:rPr>
        <w:t xml:space="preserve"> 场景里真正可用。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TagRAG: Tag-guided Hierarchical Knowledge Graph Retrieval-Augmented Generation</w:t>
              <w:br/>
            </w:r>
            <w:r>
              <w:rPr>
                <w:rFonts w:eastAsia="Consolas" w:ascii="Consolas" w:cs="Consolas" w:hAnsi="Consolas"/>
                <w:sz w:val="22"/>
              </w:rPr>
              <w:t>https://arxiv.org/pdf/2601.05254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参考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https://mp.weixin.qq.com/s/YFJ2djn0jReIaiGgk5pzCA</w:t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275">
    <w:lvl>
      <w:numFmt w:val="bullet"/>
      <w:suff w:val="tab"/>
      <w:lvlText w:val="•"/>
      <w:rPr>
        <w:color w:val="3370ff"/>
      </w:rPr>
    </w:lvl>
  </w:abstractNum>
  <w:abstractNum w:abstractNumId="85276">
    <w:lvl>
      <w:numFmt w:val="bullet"/>
      <w:suff w:val="tab"/>
      <w:lvlText w:val="•"/>
      <w:rPr>
        <w:color w:val="3370ff"/>
      </w:rPr>
    </w:lvl>
  </w:abstractNum>
  <w:abstractNum w:abstractNumId="85277">
    <w:lvl>
      <w:numFmt w:val="bullet"/>
      <w:suff w:val="tab"/>
      <w:lvlText w:val="•"/>
      <w:rPr>
        <w:color w:val="3370ff"/>
      </w:rPr>
    </w:lvl>
  </w:abstractNum>
  <w:abstractNum w:abstractNumId="85278">
    <w:lvl>
      <w:start w:val="1"/>
      <w:numFmt w:val="decimal"/>
      <w:suff w:val="tab"/>
      <w:lvlText w:val="%1."/>
      <w:rPr>
        <w:color w:val="3370ff"/>
      </w:rPr>
    </w:lvl>
  </w:abstractNum>
  <w:abstractNum w:abstractNumId="85279">
    <w:lvl>
      <w:start w:val="2"/>
      <w:numFmt w:val="decimal"/>
      <w:suff w:val="tab"/>
      <w:lvlText w:val="%1."/>
      <w:rPr>
        <w:color w:val="3370ff"/>
      </w:rPr>
    </w:lvl>
  </w:abstractNum>
  <w:abstractNum w:abstractNumId="85280">
    <w:lvl>
      <w:numFmt w:val="bullet"/>
      <w:suff w:val="tab"/>
      <w:lvlText w:val="•"/>
      <w:rPr>
        <w:color w:val="3370ff"/>
      </w:rPr>
    </w:lvl>
  </w:abstractNum>
  <w:abstractNum w:abstractNumId="85281">
    <w:lvl>
      <w:numFmt w:val="bullet"/>
      <w:suff w:val="tab"/>
      <w:lvlText w:val="•"/>
      <w:rPr>
        <w:color w:val="3370ff"/>
      </w:rPr>
    </w:lvl>
  </w:abstractNum>
  <w:abstractNum w:abstractNumId="85282">
    <w:lvl>
      <w:numFmt w:val="bullet"/>
      <w:suff w:val="tab"/>
      <w:lvlText w:val="•"/>
      <w:rPr>
        <w:color w:val="3370ff"/>
      </w:rPr>
    </w:lvl>
  </w:abstractNum>
  <w:abstractNum w:abstractNumId="85283">
    <w:lvl>
      <w:numFmt w:val="bullet"/>
      <w:suff w:val="tab"/>
      <w:lvlText w:val="•"/>
      <w:rPr>
        <w:color w:val="3370ff"/>
      </w:rPr>
    </w:lvl>
  </w:abstractNum>
  <w:abstractNum w:abstractNumId="85284">
    <w:lvl>
      <w:numFmt w:val="bullet"/>
      <w:suff w:val="tab"/>
      <w:lvlText w:val="•"/>
      <w:rPr>
        <w:color w:val="3370ff"/>
      </w:rPr>
    </w:lvl>
  </w:abstractNum>
  <w:abstractNum w:abstractNumId="85285">
    <w:lvl>
      <w:numFmt w:val="bullet"/>
      <w:suff w:val="tab"/>
      <w:lvlText w:val="•"/>
      <w:rPr>
        <w:color w:val="3370ff"/>
      </w:rPr>
    </w:lvl>
  </w:abstractNum>
  <w:abstractNum w:abstractNumId="85286">
    <w:lvl>
      <w:start w:val="1"/>
      <w:numFmt w:val="decimal"/>
      <w:suff w:val="tab"/>
      <w:lvlText w:val="%1."/>
      <w:rPr>
        <w:color w:val="3370ff"/>
      </w:rPr>
    </w:lvl>
  </w:abstractNum>
  <w:abstractNum w:abstractNumId="85287">
    <w:lvl>
      <w:start w:val="2"/>
      <w:numFmt w:val="decimal"/>
      <w:suff w:val="tab"/>
      <w:lvlText w:val="%1."/>
      <w:rPr>
        <w:color w:val="3370ff"/>
      </w:rPr>
    </w:lvl>
  </w:abstractNum>
  <w:abstractNum w:abstractNumId="85288">
    <w:lvl>
      <w:start w:val="3"/>
      <w:numFmt w:val="decimal"/>
      <w:suff w:val="tab"/>
      <w:lvlText w:val="%1."/>
      <w:rPr>
        <w:color w:val="3370ff"/>
      </w:rPr>
    </w:lvl>
  </w:abstractNum>
  <w:abstractNum w:abstractNumId="85289">
    <w:lvl>
      <w:start w:val="4"/>
      <w:numFmt w:val="decimal"/>
      <w:suff w:val="tab"/>
      <w:lvlText w:val="%1."/>
      <w:rPr>
        <w:color w:val="3370ff"/>
      </w:rPr>
    </w:lvl>
  </w:abstractNum>
  <w:abstractNum w:abstractNumId="85290">
    <w:lvl>
      <w:numFmt w:val="bullet"/>
      <w:suff w:val="tab"/>
      <w:lvlText w:val="•"/>
      <w:rPr>
        <w:color w:val="3370ff"/>
      </w:rPr>
    </w:lvl>
  </w:abstractNum>
  <w:abstractNum w:abstractNumId="85291">
    <w:lvl>
      <w:numFmt w:val="bullet"/>
      <w:suff w:val="tab"/>
      <w:lvlText w:val="•"/>
      <w:rPr>
        <w:color w:val="3370ff"/>
      </w:rPr>
    </w:lvl>
  </w:abstractNum>
  <w:abstractNum w:abstractNumId="85292">
    <w:lvl>
      <w:numFmt w:val="bullet"/>
      <w:suff w:val="tab"/>
      <w:lvlText w:val="•"/>
      <w:rPr>
        <w:color w:val="3370ff"/>
      </w:rPr>
    </w:lvl>
  </w:abstractNum>
  <w:abstractNum w:abstractNumId="85293">
    <w:lvl>
      <w:numFmt w:val="bullet"/>
      <w:suff w:val="tab"/>
      <w:lvlText w:val="•"/>
      <w:rPr>
        <w:color w:val="3370ff"/>
      </w:rPr>
    </w:lvl>
  </w:abstractNum>
  <w:abstractNum w:abstractNumId="85294">
    <w:lvl>
      <w:numFmt w:val="bullet"/>
      <w:suff w:val="tab"/>
      <w:lvlText w:val="•"/>
      <w:rPr>
        <w:color w:val="3370ff"/>
      </w:rPr>
    </w:lvl>
  </w:abstractNum>
  <w:abstractNum w:abstractNumId="85295">
    <w:lvl>
      <w:numFmt w:val="bullet"/>
      <w:suff w:val="tab"/>
      <w:lvlText w:val="•"/>
      <w:rPr>
        <w:color w:val="3370ff"/>
      </w:rPr>
    </w:lvl>
  </w:abstractNum>
  <w:num w:numId="1">
    <w:abstractNumId w:val="85275"/>
  </w:num>
  <w:num w:numId="2">
    <w:abstractNumId w:val="85276"/>
  </w:num>
  <w:num w:numId="3">
    <w:abstractNumId w:val="85277"/>
  </w:num>
  <w:num w:numId="4">
    <w:abstractNumId w:val="85278"/>
  </w:num>
  <w:num w:numId="5">
    <w:abstractNumId w:val="85279"/>
  </w:num>
  <w:num w:numId="6">
    <w:abstractNumId w:val="85280"/>
  </w:num>
  <w:num w:numId="7">
    <w:abstractNumId w:val="85281"/>
  </w:num>
  <w:num w:numId="8">
    <w:abstractNumId w:val="85282"/>
  </w:num>
  <w:num w:numId="9">
    <w:abstractNumId w:val="85283"/>
  </w:num>
  <w:num w:numId="10">
    <w:abstractNumId w:val="85284"/>
  </w:num>
  <w:num w:numId="11">
    <w:abstractNumId w:val="85285"/>
  </w:num>
  <w:num w:numId="12">
    <w:abstractNumId w:val="85286"/>
  </w:num>
  <w:num w:numId="13">
    <w:abstractNumId w:val="85287"/>
  </w:num>
  <w:num w:numId="14">
    <w:abstractNumId w:val="85288"/>
  </w:num>
  <w:num w:numId="15">
    <w:abstractNumId w:val="85289"/>
  </w:num>
  <w:num w:numId="16">
    <w:abstractNumId w:val="85290"/>
  </w:num>
  <w:num w:numId="17">
    <w:abstractNumId w:val="85291"/>
  </w:num>
  <w:num w:numId="18">
    <w:abstractNumId w:val="85292"/>
  </w:num>
  <w:num w:numId="19">
    <w:abstractNumId w:val="85293"/>
  </w:num>
  <w:num w:numId="20">
    <w:abstractNumId w:val="85294"/>
  </w:num>
  <w:num w:numId="21">
    <w:abstractNumId w:val="852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embeddings/Microsoft_Excel_Worksheet1.xlsx" Type="http://schemas.openxmlformats.org/officeDocument/2006/relationships/pack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2026-01-24T09:30:50Z</dcterms:created>
  <dc:creator>Apache POI</dc:creator>
</cp:coreProperties>
</file>