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【苏黎世理工+MIT+斯坦福】大模型RL为什么学得这么慢？SDPO自蒸馏给出答案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背景：大模型 RL 为何“学得慢、学不准”？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近年来，大语言模型在代码生成、数学推理等可验证任务上的进步，很大程度依赖强化学习（RL）后训练。但主流的 RL with Verifiable Rewards（RLVR） 框架存在一个根本性问题：</w:t>
      </w:r>
      <w:r>
        <w:rPr>
          <w:rFonts w:eastAsia="等线" w:ascii="Arial" w:cs="Arial" w:hAnsi="Arial"/>
          <w:b w:val="true"/>
          <w:sz w:val="22"/>
        </w:rPr>
        <w:t>模型只得到“对/错”的标量奖励，却不知道自己“错在哪”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在代码任务中，一个细小的语法错误就可能导致整体失败；在数学推理中，中间一步的逻辑漏洞同样会让最终答案错误。然而 RLVR 只在终点给出 0/1 反馈，</w:t>
      </w:r>
      <w:r>
        <w:rPr>
          <w:rFonts w:eastAsia="等线" w:ascii="Arial" w:cs="Arial" w:hAnsi="Arial"/>
          <w:b w:val="true"/>
          <w:sz w:val="22"/>
        </w:rPr>
        <w:t>所有 token 共享同一个奖励信号</w:t>
      </w:r>
      <w:r>
        <w:rPr>
          <w:rFonts w:eastAsia="等线" w:ascii="Arial" w:cs="Arial" w:hAnsi="Arial"/>
          <w:sz w:val="22"/>
        </w:rPr>
        <w:t>，信用分配极其粗糙，训练效率自然受限。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更关键的是，现实环境并不“沉默”。运行报错、测试用例失败、步骤级提示本身就包含了明确的错误信息，但这些丰富反馈长期被 RL 训练流程浪费。由苏黎世理工+MIT+斯坦福团队提出的 </w:t>
      </w:r>
      <w:r>
        <w:rPr>
          <w:rFonts w:eastAsia="等线" w:ascii="Arial" w:cs="Arial" w:hAnsi="Arial"/>
          <w:b w:val="true"/>
          <w:sz w:val="22"/>
        </w:rPr>
        <w:t>SDPO 自蒸馏强化学习</w:t>
      </w:r>
      <w:r>
        <w:rPr>
          <w:rFonts w:eastAsia="等线" w:ascii="Arial" w:cs="Arial" w:hAnsi="Arial"/>
          <w:sz w:val="22"/>
        </w:rPr>
        <w:t>，正是要让模型利用这些反馈进行“事后反思”，将错误原因转化为可学习的信号，从而系统性突破 RLVR 的信用分配瓶颈。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热力评分：97分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关键亮点</w:t>
      </w:r>
      <w:r>
        <w:rPr>
          <w:rFonts w:eastAsia="等线" w:ascii="Arial" w:cs="Arial" w:hAnsi="Arial"/>
          <w:sz w:val="22"/>
        </w:rPr>
        <w:t>：提出 RLRF 新范式，并通过 SDPO 自蒸馏机制实现无需外部教师的 logit 级信用分配，系统性解决 RLVR 标量奖励下“不知道错在哪”的核心瓶颈，在多任务、多模型规模下均稳定优于 GRPO 等 SOTA 方法。</w:t>
        <w:br/>
      </w:r>
      <w:r>
        <w:rPr>
          <w:rFonts w:eastAsia="等线" w:ascii="Arial" w:cs="Arial" w:hAnsi="Arial"/>
          <w:b w:val="true"/>
          <w:sz w:val="22"/>
        </w:rPr>
        <w:t>数据亮点</w:t>
      </w:r>
      <w:r>
        <w:rPr>
          <w:rFonts w:eastAsia="等线" w:ascii="Arial" w:cs="Arial" w:hAnsi="Arial"/>
          <w:sz w:val="22"/>
        </w:rPr>
        <w:t>：在科学推理与代码任务中显著提升样本与推理效率，Olmo3-7B 化学任务训练速度提升约 10×，LiveCodeBench v6 上以约 1/4 的生成量达到 GRPO 最终精度，推理输出长度最多缩短 7×。</w:t>
        <w:br/>
      </w:r>
      <w:r>
        <w:rPr>
          <w:rFonts w:eastAsia="等线" w:ascii="Arial" w:cs="Arial" w:hAnsi="Arial"/>
          <w:b w:val="true"/>
          <w:sz w:val="22"/>
        </w:rPr>
        <w:t>是否开源</w:t>
      </w:r>
      <w:r>
        <w:rPr>
          <w:rFonts w:eastAsia="等线" w:ascii="Arial" w:cs="Arial" w:hAnsi="Arial"/>
          <w:sz w:val="22"/>
        </w:rPr>
        <w:t>：有开源地址，但小编访问了链接，显示没有找到此仓库。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方法亮点：SDPO如何把“错误反馈”变成学习信号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核心思想是</w:t>
      </w:r>
      <w:r>
        <w:rPr>
          <w:rFonts w:eastAsia="等线" w:ascii="Arial" w:cs="Arial" w:hAnsi="Arial"/>
          <w:b w:val="true"/>
          <w:sz w:val="22"/>
        </w:rPr>
        <w:t>用模型自己做事后反思</w:t>
      </w:r>
      <w:r>
        <w:rPr>
          <w:rFonts w:eastAsia="等线" w:ascii="Arial" w:cs="Arial" w:hAnsi="Arial"/>
          <w:sz w:val="22"/>
        </w:rPr>
        <w:t>：模型先正常生成答案，再结合环境给出的错误反馈，重新评估每个 token 的合理性，并通过自蒸馏将这种“事后判断”转化为训练信号。由于不依赖外部教师模型，该方法可直接集成到现有 RLVR 流程中。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RLVR 与 RLRF 设置的对比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步骤1：生成候选解（与 RLVR 一致）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从任务集中采样问题，当前模型按策略生成回答 。该步骤与 GRPO 等 RLVR 方法相同，区别不在采样阶段。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步骤2：获取丰富环境反馈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不同于只保留 0/1 奖励，SDPO 会保留环境返回的</w:t>
      </w:r>
      <w:r>
        <w:rPr>
          <w:rFonts w:eastAsia="等线" w:ascii="Arial" w:cs="Arial" w:hAnsi="Arial"/>
          <w:b w:val="true"/>
          <w:sz w:val="22"/>
        </w:rPr>
        <w:t>结构化文本反馈</w:t>
      </w:r>
      <w:r>
        <w:rPr>
          <w:rFonts w:eastAsia="等线" w:ascii="Arial" w:cs="Arial" w:hAnsi="Arial"/>
          <w:sz w:val="22"/>
        </w:rPr>
        <w:t>，例如代码运行错误、测试用例失败信息或步骤级提示。这些反馈直接指向“错误原因”，是后续信用分配的关键信息来源。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43250" cy="1162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代码环境的反馈示例，灵感来源于 LeetCode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步骤3：自教师反思并重算 token 概率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SDPO 的关键在于</w:t>
      </w:r>
      <w:r>
        <w:rPr>
          <w:rFonts w:eastAsia="等线" w:ascii="Arial" w:cs="Arial" w:hAnsi="Arial"/>
          <w:b w:val="true"/>
          <w:sz w:val="22"/>
        </w:rPr>
        <w:t>自教师（self-teacher）机制</w:t>
      </w:r>
      <w:r>
        <w:rPr>
          <w:rFonts w:eastAsia="等线" w:ascii="Arial" w:cs="Arial" w:hAnsi="Arial"/>
          <w:sz w:val="22"/>
        </w:rPr>
        <w:t>：将“问题 + 反馈 + 已生成前序 token”输入同一模型，重新计算条件概率。例如，当反馈指出边界条件错误时，自教师会在对应位置降低错误 token 的概率。该自教师仅用于提供训练目标，参数通过 stop-gradient 冻结，避免训练不稳定。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步骤4：用蒸馏损失更新模型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学生模型通过最小化与自教师分布的 divergence 进行更新。与 GRPO 中对所有 token 施加相同标量优势不同，SDPO 形成的是 </w:t>
      </w:r>
      <w:r>
        <w:rPr>
          <w:rFonts w:eastAsia="等线" w:ascii="Arial" w:cs="Arial" w:hAnsi="Arial"/>
          <w:b w:val="true"/>
          <w:sz w:val="22"/>
        </w:rPr>
        <w:t>logit 级、位置相关的信用分配信号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使用 Olmo3-7B-Instruct 对 SDPO 和 GRPO 的优势值进行可视化。每一行对应一个响应的开头。颜色表示该 token 位置的优势值，正优势值以蓝色显示，负优势值以红色显示。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稳定性与效率优化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为保证可扩展性，SDPO 采用了三项关键工程优化：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EMA 自教师</w:t>
      </w:r>
      <w:r>
        <w:rPr>
          <w:rFonts w:eastAsia="等线" w:ascii="Arial" w:cs="Arial" w:hAnsi="Arial"/>
          <w:sz w:val="22"/>
        </w:rPr>
        <w:t>：用指数移动平均（EMA）来平滑教师分布，防止自我放大错误；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Top-K蒸馏</w:t>
      </w:r>
      <w:r>
        <w:rPr>
          <w:rFonts w:eastAsia="等线" w:ascii="Arial" w:cs="Arial" w:hAnsi="Arial"/>
          <w:sz w:val="22"/>
        </w:rPr>
        <w:t>：仅在高概率 token 上计算 divergence，显著降低计算开销；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对称 divergence</w:t>
      </w:r>
      <w:r>
        <w:rPr>
          <w:rFonts w:eastAsia="等线" w:ascii="Arial" w:cs="Arial" w:hAnsi="Arial"/>
          <w:sz w:val="22"/>
        </w:rPr>
        <w:t>：用Jensen-Shannon divergence替代KL散度，缓解蒸馏中的模式崩溃问题。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实验结果：SDPO在三类场景中系统性胜出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研究者在“无丰富反馈”、“有丰富反馈”、“测试时优化”三类典型设置下评估了 SDPO。结果表明，</w:t>
      </w:r>
      <w:r>
        <w:rPr>
          <w:rFonts w:eastAsia="等线" w:ascii="Arial" w:cs="Arial" w:hAnsi="Arial"/>
          <w:b w:val="true"/>
          <w:sz w:val="22"/>
        </w:rPr>
        <w:t>SDPO 不仅在最终准确率上优于 GRPO</w:t>
      </w:r>
      <w:r>
        <w:rPr>
          <w:rFonts w:eastAsia="等线" w:ascii="Arial" w:cs="Arial" w:hAnsi="Arial"/>
          <w:sz w:val="22"/>
        </w:rPr>
        <w:t xml:space="preserve"> 等 RLVR 方法，更在</w:t>
      </w:r>
      <w:r>
        <w:rPr>
          <w:rFonts w:eastAsia="等线" w:ascii="Arial" w:cs="Arial" w:hAnsi="Arial"/>
          <w:b w:val="true"/>
          <w:sz w:val="22"/>
        </w:rPr>
        <w:t>样本效率与生成简洁性</w:t>
      </w:r>
      <w:r>
        <w:rPr>
          <w:rFonts w:eastAsia="等线" w:ascii="Arial" w:cs="Arial" w:hAnsi="Arial"/>
          <w:sz w:val="22"/>
        </w:rPr>
        <w:t>上取得数量级提升。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场景1：无丰富反馈，也能显著提效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即使环境只提供 0/1 奖励，SDPO 仍可将</w:t>
      </w:r>
      <w:r>
        <w:rPr>
          <w:rFonts w:eastAsia="等线" w:ascii="Arial" w:cs="Arial" w:hAnsi="Arial"/>
          <w:b w:val="true"/>
          <w:sz w:val="22"/>
        </w:rPr>
        <w:t>成功样本作为隐式反馈</w:t>
      </w:r>
      <w:r>
        <w:rPr>
          <w:rFonts w:eastAsia="等线" w:ascii="Arial" w:cs="Arial" w:hAnsi="Arial"/>
          <w:sz w:val="22"/>
        </w:rPr>
        <w:t>，引导自教师对失败解进行对比反思。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在科学推理与工具使用任务中（Qwen3-8B、Olmo3-7B）：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准确率</w:t>
      </w:r>
      <w:r>
        <w:rPr>
          <w:rFonts w:eastAsia="等线" w:ascii="Arial" w:cs="Arial" w:hAnsi="Arial"/>
          <w:sz w:val="22"/>
        </w:rPr>
        <w:t>：SDPO（68.8%） vs GRPO（64.1%）；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样本效率</w:t>
      </w:r>
      <w:r>
        <w:rPr>
          <w:rFonts w:eastAsia="等线" w:ascii="Arial" w:cs="Arial" w:hAnsi="Arial"/>
          <w:sz w:val="22"/>
        </w:rPr>
        <w:t>：化学任务中，SDPO 用约 30 分钟达到 GRPO 5 小时的性能（≈10× 加速）；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生成简洁性</w:t>
      </w:r>
      <w:r>
        <w:rPr>
          <w:rFonts w:eastAsia="等线" w:ascii="Arial" w:cs="Arial" w:hAnsi="Arial"/>
          <w:sz w:val="22"/>
        </w:rPr>
        <w:t>：输出比 GRPO 短 3–7×，显著减少循环推理。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Olmo3-7B-Instruct 在化学任务上的训练进展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场景2：丰富反馈下，优势进一步放大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LiveCodeBench v6 竞争编程任务中，SDPO 直接利用运行错误与测试用例反馈进行训练。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最终准确率</w:t>
      </w:r>
      <w:r>
        <w:rPr>
          <w:rFonts w:eastAsia="等线" w:ascii="Arial" w:cs="Arial" w:hAnsi="Arial"/>
          <w:sz w:val="22"/>
        </w:rPr>
        <w:t>：SDPO（48.8%） vs GRPO（41.2%），甚至超过Claude Sonnet 4（40.5%）；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样本效率</w:t>
      </w:r>
      <w:r>
        <w:rPr>
          <w:rFonts w:eastAsia="等线" w:ascii="Arial" w:cs="Arial" w:hAnsi="Arial"/>
          <w:sz w:val="22"/>
        </w:rPr>
        <w:t>：SDPO仅用约1/4的生成量达到GRPO的最终准确率；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规模效应</w:t>
      </w:r>
      <w:r>
        <w:rPr>
          <w:rFonts w:eastAsia="等线" w:ascii="Arial" w:cs="Arial" w:hAnsi="Arial"/>
          <w:sz w:val="22"/>
        </w:rPr>
        <w:t>：模型越大收益越明显，Qwen3-8B 的提升显著高于 0.6B，表明“自我反思”是大模型的涌现能力。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SDPO 随模型规模扩大而提升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场景3：测试时自蒸馏，快速解决极难问题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binary-reward 的极难问题上（如 Qwen3-8B 的 pass@64 &lt; 0.03），SDPO 通过测试时自蒸馏持续吸收失败反馈，显著加速解的发现。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发现概率</w:t>
      </w:r>
      <w:r>
        <w:rPr>
          <w:rFonts w:eastAsia="等线" w:ascii="Arial" w:cs="Arial" w:hAnsi="Arial"/>
          <w:sz w:val="22"/>
        </w:rPr>
        <w:t>：在2750次生成内，SDPO解决53.2%的极难问题，而best-of-k仅41.5%；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效率</w:t>
      </w:r>
      <w:r>
        <w:rPr>
          <w:rFonts w:eastAsia="等线" w:ascii="Arial" w:cs="Arial" w:hAnsi="Arial"/>
          <w:sz w:val="22"/>
        </w:rPr>
        <w:t>：达到22%发现概率时，SDPO需要的生成量是best-of-k的1/3；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稳定性</w:t>
      </w:r>
      <w:r>
        <w:rPr>
          <w:rFonts w:eastAsia="等线" w:ascii="Arial" w:cs="Arial" w:hAnsi="Arial"/>
          <w:sz w:val="22"/>
        </w:rPr>
        <w:t>：相比多轮对话受限于上下文窗口，SDPO 通过参数更新“压缩反馈”，可持续优化。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测试时的自我蒸馏解决了基础模型和多轮对话都无法解决的 LiveCodeBench 问题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结论与展望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该工作在范式层面重新审视了大模型强化学习中的反馈利用方式，通过提出 RLRF 框架与无需外部教师的 SDPO 自蒸馏机制，将环境错误信息转化为可学习的 token 级信用分配信号，系统性缓解了 RLVR 依赖标量奖励带来的学习低效问题。方法设计简洁、可作为 RLVR 的 drop-in 组件直接复用，并在多任务、多模型规模下表现出稳定且随规模放大的性能与效率优势。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在大模型强化学习中，真正的瓶颈不在优化器或采样策略，而在于是否充分利用“错误本身”所蕴含的学习信号，而 SDPO 为这一方向提供了一个可复用、可扩展且已被实证验证的解法。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论文与代码地址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论文地址：</w:t>
        <w:br/>
      </w:r>
      <w:r>
        <w:rPr>
          <w:rFonts w:eastAsia="等线" w:ascii="Arial" w:cs="Arial" w:hAnsi="Arial"/>
          <w:sz w:val="22"/>
        </w:rPr>
        <w:t>https://arxiv.org/abs/2601.20802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代码地址</w:t>
        <w:br/>
      </w:r>
      <w:r>
        <w:rPr>
          <w:rFonts w:eastAsia="等线" w:ascii="Arial" w:cs="Arial" w:hAnsi="Arial"/>
          <w:sz w:val="22"/>
        </w:rPr>
        <w:t>https://github.com/lasgroup/SDPO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6713">
    <w:lvl>
      <w:start w:val="1"/>
      <w:numFmt w:val="decimal"/>
      <w:suff w:val="tab"/>
      <w:lvlText w:val="%1."/>
      <w:rPr>
        <w:color w:val="3370ff"/>
      </w:rPr>
    </w:lvl>
  </w:abstractNum>
  <w:abstractNum w:abstractNumId="256714">
    <w:lvl>
      <w:start w:val="2"/>
      <w:numFmt w:val="decimal"/>
      <w:suff w:val="tab"/>
      <w:lvlText w:val="%1."/>
      <w:rPr>
        <w:color w:val="3370ff"/>
      </w:rPr>
    </w:lvl>
  </w:abstractNum>
  <w:abstractNum w:abstractNumId="256715">
    <w:lvl>
      <w:start w:val="3"/>
      <w:numFmt w:val="decimal"/>
      <w:suff w:val="tab"/>
      <w:lvlText w:val="%1."/>
      <w:rPr>
        <w:color w:val="3370ff"/>
      </w:rPr>
    </w:lvl>
  </w:abstractNum>
  <w:abstractNum w:abstractNumId="256716">
    <w:lvl>
      <w:numFmt w:val="bullet"/>
      <w:suff w:val="tab"/>
      <w:lvlText w:val="•"/>
      <w:rPr>
        <w:color w:val="3370ff"/>
      </w:rPr>
    </w:lvl>
  </w:abstractNum>
  <w:abstractNum w:abstractNumId="256717">
    <w:lvl>
      <w:numFmt w:val="bullet"/>
      <w:suff w:val="tab"/>
      <w:lvlText w:val="•"/>
      <w:rPr>
        <w:color w:val="3370ff"/>
      </w:rPr>
    </w:lvl>
  </w:abstractNum>
  <w:abstractNum w:abstractNumId="256718">
    <w:lvl>
      <w:numFmt w:val="bullet"/>
      <w:suff w:val="tab"/>
      <w:lvlText w:val="•"/>
      <w:rPr>
        <w:color w:val="3370ff"/>
      </w:rPr>
    </w:lvl>
  </w:abstractNum>
  <w:abstractNum w:abstractNumId="256719">
    <w:lvl>
      <w:numFmt w:val="bullet"/>
      <w:suff w:val="tab"/>
      <w:lvlText w:val="•"/>
      <w:rPr>
        <w:color w:val="3370ff"/>
      </w:rPr>
    </w:lvl>
  </w:abstractNum>
  <w:abstractNum w:abstractNumId="256720">
    <w:lvl>
      <w:numFmt w:val="bullet"/>
      <w:suff w:val="tab"/>
      <w:lvlText w:val="•"/>
      <w:rPr>
        <w:color w:val="3370ff"/>
      </w:rPr>
    </w:lvl>
  </w:abstractNum>
  <w:abstractNum w:abstractNumId="256721">
    <w:lvl>
      <w:numFmt w:val="bullet"/>
      <w:suff w:val="tab"/>
      <w:lvlText w:val="•"/>
      <w:rPr>
        <w:color w:val="3370ff"/>
      </w:rPr>
    </w:lvl>
  </w:abstractNum>
  <w:abstractNum w:abstractNumId="256722">
    <w:lvl>
      <w:numFmt w:val="bullet"/>
      <w:suff w:val="tab"/>
      <w:lvlText w:val="•"/>
      <w:rPr>
        <w:color w:val="3370ff"/>
      </w:rPr>
    </w:lvl>
  </w:abstractNum>
  <w:abstractNum w:abstractNumId="256723">
    <w:lvl>
      <w:numFmt w:val="bullet"/>
      <w:suff w:val="tab"/>
      <w:lvlText w:val="•"/>
      <w:rPr>
        <w:color w:val="3370ff"/>
      </w:rPr>
    </w:lvl>
  </w:abstractNum>
  <w:abstractNum w:abstractNumId="256724">
    <w:lvl>
      <w:numFmt w:val="bullet"/>
      <w:suff w:val="tab"/>
      <w:lvlText w:val="•"/>
      <w:rPr>
        <w:color w:val="3370ff"/>
      </w:rPr>
    </w:lvl>
  </w:abstractNum>
  <w:num w:numId="1">
    <w:abstractNumId w:val="256713"/>
  </w:num>
  <w:num w:numId="2">
    <w:abstractNumId w:val="256714"/>
  </w:num>
  <w:num w:numId="3">
    <w:abstractNumId w:val="256715"/>
  </w:num>
  <w:num w:numId="4">
    <w:abstractNumId w:val="256716"/>
  </w:num>
  <w:num w:numId="5">
    <w:abstractNumId w:val="256717"/>
  </w:num>
  <w:num w:numId="6">
    <w:abstractNumId w:val="256718"/>
  </w:num>
  <w:num w:numId="7">
    <w:abstractNumId w:val="256719"/>
  </w:num>
  <w:num w:numId="8">
    <w:abstractNumId w:val="256720"/>
  </w:num>
  <w:num w:numId="9">
    <w:abstractNumId w:val="256721"/>
  </w:num>
  <w:num w:numId="10">
    <w:abstractNumId w:val="256722"/>
  </w:num>
  <w:num w:numId="11">
    <w:abstractNumId w:val="256723"/>
  </w:num>
  <w:num w:numId="12">
    <w:abstractNumId w:val="2567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2026-02-01T15:06:38Z</dcterms:created>
  <dc:creator>Apache POI</dc:creator>
</cp:coreProperties>
</file>