
<file path=[Content_Types].xml><?xml version="1.0" encoding="utf-8"?>
<Types xmlns="http://schemas.openxmlformats.org/package/2006/content-types">
  <Default ContentType="image/gif" Extension="gi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2026开年新风向：上下文即Teacher，三文详解Self-Distillation新范式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048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2026 开年三文连发，大模型如何靠上下文实现自我进化？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最近几天，MIT、ETH Zurich 和 UCLA 等团队，几乎在同一时间提交了关于 </w:t>
      </w:r>
      <w:r>
        <w:rPr>
          <w:rFonts w:eastAsia="等线" w:ascii="Arial" w:cs="Arial" w:hAnsi="Arial"/>
          <w:b w:val="true"/>
          <w:sz w:val="22"/>
        </w:rPr>
        <w:t>Self-Distillation</w:t>
      </w:r>
      <w:r>
        <w:rPr>
          <w:rFonts w:eastAsia="等线" w:ascii="Arial" w:cs="Arial" w:hAnsi="Arial"/>
          <w:sz w:val="22"/>
        </w:rPr>
        <w:t xml:space="preserve"> 的重磅论文。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虽然它们分别探讨的是持续学习、强化学习和复杂推理，但在技术内核上却高度一致。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这三项工作打破了传统知识蒸馏必须依赖更强外部 Teacher（如 GPT-4）的定式，共同指向了一种 </w:t>
      </w:r>
      <w:r>
        <w:rPr>
          <w:rFonts w:eastAsia="等线" w:ascii="Arial" w:cs="Arial" w:hAnsi="Arial"/>
          <w:b w:val="true"/>
          <w:sz w:val="22"/>
        </w:rPr>
        <w:t>On-Policy Self-Distillation</w:t>
      </w:r>
      <w:r>
        <w:rPr>
          <w:rFonts w:eastAsia="等线" w:ascii="Arial" w:cs="Arial" w:hAnsi="Arial"/>
          <w:sz w:val="22"/>
        </w:rPr>
        <w:t xml:space="preserve"> 的新范式：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不再寻找外部导师，而是利用推理时的额外上下文，构建一个比 Base Model 更强的“自我”，以此作为 Teacher 指导训练。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这一范式有效地将推理时的计算转化为了训练时的信号。本文将深度拆解这三篇论文，探讨这一技术路线如何重塑大模型的训练效率。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SDFT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811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论文标题：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Self-Distillation Enables Continual Learning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论文链接：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https://arxiv.org/pdf/2601.19897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项目链接：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https://github.com/idanshen/Self-Distillation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在持续学习中，SFT 面临严重的灾难性遗忘。传统的解法是维护一个 Replay Buffer 进行混合训练，但这仅仅是数据的回放，而非知识的内化。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SDFT 的核心洞察在于，</w:t>
      </w:r>
      <w:r>
        <w:rPr>
          <w:rFonts w:eastAsia="等线" w:ascii="Arial" w:cs="Arial" w:hAnsi="Arial"/>
          <w:b w:val="true"/>
          <w:sz w:val="22"/>
        </w:rPr>
        <w:t>利用大模型强大的 In-Context Learning 能力作为 Teacher。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SDFT 构建了一个 </w:t>
      </w:r>
      <w:r>
        <w:rPr>
          <w:rFonts w:eastAsia="等线" w:ascii="Arial" w:cs="Arial" w:hAnsi="Arial"/>
          <w:b w:val="true"/>
          <w:sz w:val="22"/>
        </w:rPr>
        <w:t>Demonstration-Conditioned Teacher</w:t>
      </w:r>
      <w:r>
        <w:rPr>
          <w:rFonts w:eastAsia="等线" w:ascii="Arial" w:cs="Arial" w:hAnsi="Arial"/>
          <w:sz w:val="22"/>
        </w:rPr>
        <w:t>。对于输入 ，模型检索旧任务的示例  作为 Context，构建 Teacher 分布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 Student 模型  则在没有任何演示的情况下，通过 KL 散度去拟合 Teacher 的输出分布。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这是一个典型的 On-Policy 过程，Teacher 指导 Student 如何将“写在 Prompt 里的短期记忆（演示）”内化为“写在参数里的长期记忆（权重）”。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为了更清晰地展示这一过程，原论文详细描绘了从检索 Demonstrations 到 Student Update 的完整数据流：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〓 SDFT 详细流程图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此外，SDFT 的具体实现逻辑非常简洁，原论文在 Algorithm 1 中给出了明确描述，清晰展示了利用 KL 散度进行蒸馏的步骤：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〓 SDFT 算法伪代码，详述了构建 Conditioned Teacher 及计算 Loss 的过程。</w:t>
        <w:br/>
      </w:r>
      <w:r>
        <w:rPr>
          <w:rFonts w:eastAsia="等线" w:ascii="Arial" w:cs="Arial" w:hAnsi="Arial"/>
          <w:b w:val="true"/>
          <w:sz w:val="22"/>
        </w:rPr>
        <w:t>实验结论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ScienceQA, Hellaswag, MMLU 等数据集的混合评估中，SDFT 在保留旧知识方面的表现显著优于单纯的 SFT 和 DET 方法。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〓 SDFT 在 New Task 和 Previous Tasks 上均取得了最佳的平均表现，显著优于 SFT。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更为关键的是，SDFT 在顺序学习（Sequential Learning）场景下展现了极强的稳定性。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原论文记录了模型在依次学习多个技能时的性能变化：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〓 技能学习动态曲线：随着学习步骤的推进，SDFT 在旧任务上的性能几乎保持水平，未出现 SFT 常见的断崖式下跌，完美印证了其克服灾难性遗忘的能力。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SDPO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论文标题：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Reinforcement Learning via Self-Distillation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论文链接：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https://arxiv.org/pdf/2601.20802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项目链接：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https://github.com/lasgroup/SDPO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在代码生成或科学推理的强化学习场景中，核心难题是 Credit Assignment。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传统的 RLVR 或 GRPO 通常只能获得一个标量的 Reward（代码跑通=1，报错=0），模型难以知晓具体是哪个 Token 导致了错误。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SDPO 提出</w:t>
      </w:r>
      <w:r>
        <w:rPr>
          <w:rFonts w:eastAsia="等线" w:ascii="Arial" w:cs="Arial" w:hAnsi="Arial"/>
          <w:b w:val="true"/>
          <w:sz w:val="22"/>
        </w:rPr>
        <w:t>利用 Rich Feedback（如编译器报错）构建 Self-Teacher，将稀疏的标量信号转化为密集的 Token 级监督。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当模型生成的代码  触发反馈 （如 Runtime Error）时，SDPO 将  重新输入给模型。模型利用自身的反思能力和反馈信息，能够识别错误并生成更优的 Token 分布。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此时，</w:t>
      </w:r>
      <w:r>
        <w:rPr>
          <w:rFonts w:eastAsia="等线" w:ascii="Arial" w:cs="Arial" w:hAnsi="Arial"/>
          <w:b w:val="true"/>
          <w:sz w:val="22"/>
        </w:rPr>
        <w:t>Teacher</w:t>
      </w:r>
      <w:r>
        <w:rPr>
          <w:rFonts w:eastAsia="等线" w:ascii="Arial" w:cs="Arial" w:hAnsi="Arial"/>
          <w:sz w:val="22"/>
        </w:rPr>
        <w:t xml:space="preserve"> 被定义为 Conditioned on Feedback 的分布 。Student  则通过蒸馏学习这个“事后诸葛亮”的自己。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这一机制的核心在于将传统的标量奖励设定（RLVR）升级为富反馈设定（RLRF）。原论文直观对比了这两种模式的区别：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907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〓 RLVR 与 RLRF 设定对比，SDPO 利用 Feedback 构建更强的 Self-Teacher 信号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为了直观理解这一过程，我们可以看一个具体的代码生成案例：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〓 自修正案例展示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模型最初生成的代码导致了 IndexError，将该报错作为 Feedback 输入后，Self-Teacher 成功生成了修正后的代码。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SDPO 正是通过蒸馏这种</w:t>
      </w:r>
      <w:r>
        <w:rPr>
          <w:rFonts w:eastAsia="等线" w:ascii="Arial" w:cs="Arial" w:hAnsi="Arial"/>
          <w:b w:val="true"/>
          <w:sz w:val="22"/>
        </w:rPr>
        <w:t>自我修正</w:t>
      </w:r>
      <w:r>
        <w:rPr>
          <w:rFonts w:eastAsia="等线" w:ascii="Arial" w:cs="Arial" w:hAnsi="Arial"/>
          <w:sz w:val="22"/>
        </w:rPr>
        <w:t>的能力来提升模型。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其具体的训练过程如下伪代码所示，明确展示了如何利用 Feedback 构造 Teacher 分布：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433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〓 SDPO 核心算法，展示了 Feedback 在 Teacher 构建中的关键作用。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在基于 Qwen3-8B 的实验中，SDPO 不仅在采样效率上优于 GRPO，在最终的 Pass Rate 上也取得了实质性突破。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623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〓 SDPO 与 GRPO 训练曲线对比：SDPO 曲线在相同采样次数下达到了更高的 Pass Rate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更详细的 Benchmark 数据进一步证实了这一点：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〓 在多个权威榜单上，SDPO 均取得了比 GRPO 更高的准确率，证明了密集反馈信号的优越性。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OPSD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02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论文标题：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Self-Distilled Reasoner: On-Policy Self-Distillation for Large Language Models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论文链接：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https://arxiv.org/pdf/2601.18734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在数学推理任务中，SFT 存在训练与推理分布偏移的问题。OPSD (On-Policy Self-Distillation) 关注如何利用训练数据中隐含的特权信息——即 Ground Truth 答案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OPSD 的逻辑是 </w:t>
      </w:r>
      <w:r>
        <w:rPr>
          <w:rFonts w:eastAsia="等线" w:ascii="Arial" w:cs="Arial" w:hAnsi="Arial"/>
          <w:b w:val="true"/>
          <w:sz w:val="22"/>
        </w:rPr>
        <w:t>Teacher 看着答案生成推理步骤，Student 看着问题学习推理步骤。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Teacher Policy 定义为 ，它能利用答案作为导航，生成高质量的 CoT。Student Policy  则在自己的采样轨迹（Rollouts）上，去拟合 Teacher 的分布。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其核心优化目标（Per-token Divergence）在原论文中定义如下：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这与 GRPO 的根本区别在于，GRPO 优化的是 Reward，而 OPSD 优化的是 Student 与“全知 Teacher”之间的分布距离。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430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〓 OPSD 框架概览：Teacher 利用答案指导 Student 的 On-Policy 生成。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其完整的训练流程如下：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〓 OPSD 训练过程伪代码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AIME24, AIME25 等高难度数学竞赛数据集上，OPSD 展现了优越的性能。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〓 OPSD 在多个数学基准测试中均超越了 SFT 和 GRPO。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实验数据显示，在 Qwen3-8B 基座上，OPSD 取得了 52.2% 的平均准确率，在相同超参数配置下优于 GRPO (51.3%) 和 SFT (50.0%)。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结语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综合对比这三项工作，</w:t>
      </w:r>
      <w:r>
        <w:rPr>
          <w:rFonts w:eastAsia="等线" w:ascii="Arial" w:cs="Arial" w:hAnsi="Arial"/>
          <w:b w:val="true"/>
          <w:sz w:val="22"/>
        </w:rPr>
        <w:t>Context-based Self-Distillation</w:t>
      </w:r>
      <w:r>
        <w:rPr>
          <w:rFonts w:eastAsia="等线" w:ascii="Arial" w:cs="Arial" w:hAnsi="Arial"/>
          <w:sz w:val="22"/>
        </w:rPr>
        <w:t xml:space="preserve"> 在不同领域的落地形态已然清晰：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在持续学习领域（SDFT），Context 是</w:t>
      </w:r>
      <w:r>
        <w:rPr>
          <w:rFonts w:eastAsia="等线" w:ascii="Arial" w:cs="Arial" w:hAnsi="Arial"/>
          <w:b w:val="true"/>
          <w:sz w:val="22"/>
        </w:rPr>
        <w:t>旧任务的演示</w:t>
      </w:r>
      <w:r>
        <w:rPr>
          <w:rFonts w:eastAsia="等线" w:ascii="Arial" w:cs="Arial" w:hAnsi="Arial"/>
          <w:sz w:val="22"/>
        </w:rPr>
        <w:t>，解决的是记忆保持的问题；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在强化学习领域（SDPO），Context 是</w:t>
      </w:r>
      <w:r>
        <w:rPr>
          <w:rFonts w:eastAsia="等线" w:ascii="Arial" w:cs="Arial" w:hAnsi="Arial"/>
          <w:b w:val="true"/>
          <w:sz w:val="22"/>
        </w:rPr>
        <w:t>环境反馈</w:t>
      </w:r>
      <w:r>
        <w:rPr>
          <w:rFonts w:eastAsia="等线" w:ascii="Arial" w:cs="Arial" w:hAnsi="Arial"/>
          <w:sz w:val="22"/>
        </w:rPr>
        <w:t>，解决的是稀疏奖励下的信用分配问题；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在复杂推理领域（OPSD），Context 是 </w:t>
      </w:r>
      <w:r>
        <w:rPr>
          <w:rFonts w:eastAsia="等线" w:ascii="Arial" w:cs="Arial" w:hAnsi="Arial"/>
          <w:b w:val="true"/>
          <w:sz w:val="22"/>
        </w:rPr>
        <w:t>Ground Truth 答案</w:t>
      </w:r>
      <w:r>
        <w:rPr>
          <w:rFonts w:eastAsia="等线" w:ascii="Arial" w:cs="Arial" w:hAnsi="Arial"/>
          <w:sz w:val="22"/>
        </w:rPr>
        <w:t>，解决的是推理路径的搜索效率问题。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这一趋势表明，在缺乏外部强力 Teacher 的情况下，通过合理构造 Inference Context，模型完全有能力利用“后见之明”构建出高质量的监督信号。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对于垂直领域的模型开发者而言，这或许是比单纯堆砌 SFT 数据或盲目上 PPO 更具性价比的方案。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参考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https://mp.weixin.qq.com/s/-thxUBCV7pP874I6yZ5PZg</w:t>
      </w:r>
    </w:p>
    <w:sectPr>
      <w:footerReference w:type="default" r:id="rId3"/>
      <w:headerReference w:type="default" r:id="rId2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3012">
    <w:lvl>
      <w:numFmt w:val="bullet"/>
      <w:suff w:val="tab"/>
      <w:lvlText w:val="•"/>
      <w:rPr>
        <w:color w:val="3370ff"/>
      </w:rPr>
    </w:lvl>
  </w:abstractNum>
  <w:abstractNum w:abstractNumId="203013">
    <w:lvl>
      <w:numFmt w:val="bullet"/>
      <w:suff w:val="tab"/>
      <w:lvlText w:val="•"/>
      <w:rPr>
        <w:color w:val="3370ff"/>
      </w:rPr>
    </w:lvl>
  </w:abstractNum>
  <w:abstractNum w:abstractNumId="203014">
    <w:lvl>
      <w:numFmt w:val="bullet"/>
      <w:suff w:val="tab"/>
      <w:lvlText w:val="•"/>
      <w:rPr>
        <w:color w:val="3370ff"/>
      </w:rPr>
    </w:lvl>
  </w:abstractNum>
  <w:num w:numId="1">
    <w:abstractNumId w:val="203012"/>
  </w:num>
  <w:num w:numId="2">
    <w:abstractNumId w:val="203013"/>
  </w:num>
  <w:num w:numId="3">
    <w:abstractNumId w:val="2030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numbering.xml" Type="http://schemas.openxmlformats.org/officeDocument/2006/relationships/numbering"/><Relationship Id="rId26" Target="header1.xml" Type="http://schemas.openxmlformats.org/officeDocument/2006/relationships/header"/><Relationship Id="rId3" Target="footer1.xml" Type="http://schemas.openxmlformats.org/officeDocument/2006/relationships/footer"/><Relationship Id="rId4" Target="media/image1.gif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2026-02-01T15:06:26Z</dcterms:created>
  <dc:creator>Apache POI</dc:creator>
</cp:coreProperties>
</file>