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ICLR 2025 | InstructRAG：当 RAG 学会“先去噪再回答”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这两年，RAG（Retrieval-Augmented Generation，检索增强生成）几乎成了大模型落地的标配方案。它的基本思路很直接：当模型自身参数里没有足够知识时，就先去外部知识库检索相关文档，再结合检索结果生成答案。按理说，这样能提高事实性，也能缓解幻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但问题在于，</w:t>
      </w:r>
      <w:r>
        <w:rPr>
          <w:rFonts w:eastAsia="等线" w:ascii="Arial" w:cs="Arial" w:hAnsi="Arial"/>
          <w:b w:val="true"/>
          <w:sz w:val="22"/>
        </w:rPr>
        <w:t>检索结果并不总是可靠的</w:t>
      </w:r>
      <w:r>
        <w:rPr>
          <w:rFonts w:eastAsia="等线" w:ascii="Arial" w:cs="Arial" w:hAnsi="Arial"/>
          <w:sz w:val="22"/>
        </w:rPr>
        <w:t>。真实场景里，检索器可能召回不相关文档，语料库本身也可能混入过时、错误甚至具有误导性的内容。于是，模型面对的并不是“纯净知识”，而是一堆真假混杂的信息。很多现有 RAG 方法仍然要求模型直接从这些 noisy documents 中输出最终答案，也就是说，模型虽然在“隐式去噪”，但这个过程不可见、不可验证，也不够稳健。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ICLR 2025 的这篇 </w:t>
      </w:r>
      <w:r>
        <w:rPr>
          <w:rFonts w:eastAsia="等线" w:ascii="Arial" w:cs="Arial" w:hAnsi="Arial"/>
          <w:b w:val="true"/>
          <w:sz w:val="22"/>
        </w:rPr>
        <w:t>InstructRAG</w:t>
      </w:r>
      <w:r>
        <w:rPr>
          <w:rFonts w:eastAsia="等线" w:ascii="Arial" w:cs="Arial" w:hAnsi="Arial"/>
          <w:sz w:val="22"/>
        </w:rPr>
        <w:t>，正是针对这个问题提出的。它的核心思想可以概括为一句话：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不要只让模型回答问题，而要先让模型学会解释：哪些检索文档有用，哪些没用，最终答案为什么成立。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论文：INSTRUCTRAG: INSTRUCTING RETRIEVAL AUGMENTED GENERATION VIA SELF-SYNTHESIZED RATIONALES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论文地址：https://arxiv.org/pdf/2406.13629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代码仓库：https://github.com/weizhepei/InstructRAG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一、InstructRAG 在做什么？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RAG 学的是：给定问题和检索文档，直接预测答案。</w:t>
        <w:br/>
      </w:r>
      <w:r>
        <w:rPr>
          <w:rFonts w:eastAsia="等线" w:ascii="Arial" w:cs="Arial" w:hAnsi="Arial"/>
          <w:sz w:val="22"/>
        </w:rPr>
        <w:t xml:space="preserve">而 InstructRAG 做了一个关键改动：它让模型先生成一段 </w:t>
      </w:r>
      <w:r>
        <w:rPr>
          <w:rFonts w:eastAsia="等线" w:ascii="Arial" w:cs="Arial" w:hAnsi="Arial"/>
          <w:b w:val="true"/>
          <w:sz w:val="22"/>
        </w:rPr>
        <w:t>rationale</w:t>
      </w:r>
      <w:r>
        <w:rPr>
          <w:rFonts w:eastAsia="等线" w:ascii="Arial" w:cs="Arial" w:hAnsi="Arial"/>
          <w:sz w:val="22"/>
        </w:rPr>
        <w:t>，也就是“推理依据”或“去噪解释”。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这段 rationale 不是随便写解释，而是要明确回答三个问题：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哪些检索文档真正相关？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哪些文档是噪声、可以忽略？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正确答案是如何从有效证据中推出来的？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普通 RAG 和 InstructRAG 之间的比较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这样一来，模型不再只是“答对”，而是被要求把“为什么这样答”说清楚。论文把这种过程称为 explicit denoising，也就是显式去噪。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二、方法框架：两步走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InstructRAG 的整体框架其实很清楚，可以分成两步。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InstructRAG 的整体框架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第一步：生成 rationale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对于训练集中的每个问答样本，作者先用检索器取回一组可能带噪声的文档。然后，使用一个 instruction-tuned 大模型作为 </w:t>
      </w:r>
      <w:r>
        <w:rPr>
          <w:rFonts w:eastAsia="等线" w:ascii="Arial" w:cs="Arial" w:hAnsi="Arial"/>
          <w:b w:val="true"/>
          <w:sz w:val="22"/>
        </w:rPr>
        <w:t>rationale generation</w:t>
      </w:r>
      <w:r>
        <w:rPr>
          <w:rFonts w:eastAsia="等线" w:ascii="Arial" w:cs="Arial" w:hAnsi="Arial"/>
          <w:sz w:val="22"/>
        </w:rPr>
        <w:t>，让它阅读这些文档，并生成一段解释：哪些文档支持正确答案，哪些文档不相关，推理链条是什么。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值得注意的是，这些 rationale </w:t>
      </w:r>
      <w:r>
        <w:rPr>
          <w:rFonts w:eastAsia="等线" w:ascii="Arial" w:cs="Arial" w:hAnsi="Arial"/>
          <w:b w:val="true"/>
          <w:sz w:val="22"/>
        </w:rPr>
        <w:t>不需要人工标注</w:t>
      </w:r>
      <w:r>
        <w:rPr>
          <w:rFonts w:eastAsia="等线" w:ascii="Arial" w:cs="Arial" w:hAnsi="Arial"/>
          <w:sz w:val="22"/>
        </w:rPr>
        <w:t xml:space="preserve">。它们是模型自己在指令驱动下合成出来的，因此作者把这套方法称为 </w:t>
      </w:r>
      <w:r>
        <w:rPr>
          <w:rFonts w:eastAsia="等线" w:ascii="Arial" w:cs="Arial" w:hAnsi="Arial"/>
          <w:b w:val="true"/>
          <w:sz w:val="22"/>
        </w:rPr>
        <w:t>self-synthesized rationales</w:t>
      </w:r>
      <w:r>
        <w:rPr>
          <w:rFonts w:eastAsia="等线" w:ascii="Arial" w:cs="Arial" w:hAnsi="Arial"/>
          <w:sz w:val="22"/>
        </w:rPr>
        <w:t>。这点很重要，因为人工标注“去噪推理过程”成本很高，而论文希望在不增加额外监督的前提下完成这件事。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rationale generator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</w:rPr>
        <w:t>第二步：学习显式去噪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拿到这些 rationale 之后，就可以用它们去训练或提示另一个模型。论文给了两种使用方式：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InstructRAG-ICL</w:t>
      </w:r>
      <w:r>
        <w:rPr>
          <w:rFonts w:eastAsia="等线" w:ascii="Arial" w:cs="Arial" w:hAnsi="Arial"/>
          <w:color w:val="6425d0"/>
          <w:sz w:val="22"/>
        </w:rPr>
        <w:t>：不训练模型，只把这些“问题—推理依据”作为 few-shot 示例，在推理时让模型模仿这种去噪风格。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InstructRAG-FT</w:t>
      </w:r>
      <w:r>
        <w:rPr>
          <w:rFonts w:eastAsia="等线" w:ascii="Arial" w:cs="Arial" w:hAnsi="Arial"/>
          <w:color w:val="6425d0"/>
          <w:sz w:val="22"/>
        </w:rPr>
        <w:t>：把 rationale 当作监督信号，直接微调模型，让模型学会在面对 noisy retrieval 时输出带解释的推理结果。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这意味着，InstructRAG并不是只把 CoT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搬进 RAG，而是专门让模型学会：</w:t>
      </w:r>
      <w:r>
        <w:rPr>
          <w:rFonts w:eastAsia="等线" w:ascii="Arial" w:cs="Arial" w:hAnsi="Arial"/>
          <w:b w:val="true"/>
          <w:sz w:val="22"/>
        </w:rPr>
        <w:t>在检索噪声存在时，如何筛证据、拒噪声、再作答。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三、它和普通 CoT 有什么区别？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很多人看到这里会觉得，这不就是“让模型多写一点推理过程”吗？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其实不一样。普通 CoT 关注的是“怎么一步步想”，而 InstructRAG更关注“</w:t>
      </w:r>
      <w:r>
        <w:rPr>
          <w:rFonts w:eastAsia="等线" w:ascii="Arial" w:cs="Arial" w:hAnsi="Arial"/>
          <w:b w:val="true"/>
          <w:sz w:val="22"/>
        </w:rPr>
        <w:t>在外部检索文档不可靠时，怎么识别哪些能信、哪些不能信</w:t>
      </w:r>
      <w:r>
        <w:rPr>
          <w:rFonts w:eastAsia="等线" w:ascii="Arial" w:cs="Arial" w:hAnsi="Arial"/>
          <w:sz w:val="22"/>
        </w:rPr>
        <w:t>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换句话说，普通 CoT 面向的是推理展开；</w:t>
        <w:br/>
      </w:r>
      <w:r>
        <w:rPr>
          <w:rFonts w:eastAsia="等线" w:ascii="Arial" w:cs="Arial" w:hAnsi="Arial"/>
          <w:sz w:val="22"/>
        </w:rPr>
        <w:t xml:space="preserve">InstructRAG面向的是 </w:t>
      </w:r>
      <w:r>
        <w:rPr>
          <w:rFonts w:eastAsia="等线" w:ascii="Arial" w:cs="Arial" w:hAnsi="Arial"/>
          <w:b w:val="true"/>
          <w:sz w:val="22"/>
        </w:rPr>
        <w:t>RAG 特有的噪声鲁棒性</w:t>
      </w:r>
      <w:r>
        <w:rPr>
          <w:rFonts w:eastAsia="等线" w:ascii="Arial" w:cs="Arial" w:hAnsi="Arial"/>
          <w:b w:val="true"/>
          <w:i w:val="true"/>
          <w:sz w:val="22"/>
        </w:rPr>
        <w:t>()</w:t>
      </w: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所以，它不是单纯增加 reasoning，而是在做一种面向检索增强场景的“证据过滤 + 解释生成”。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四、实验结果说明了什么？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论文在五个知识密集型 benchmark 上做了实验，包括 PopQA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、TriviaQA、Natural Questions、ASQA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和 2WikiMultiHopQA。结果很明确：</w:t>
      </w:r>
      <w:r>
        <w:rPr>
          <w:rFonts w:eastAsia="等线" w:ascii="Arial" w:cs="Arial" w:hAnsi="Arial"/>
          <w:b w:val="true"/>
          <w:sz w:val="22"/>
        </w:rPr>
        <w:t>无论是 training-free 还是 fine-tuning 设定，InstructRAG 都稳定优于现有基线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其中，论文给出的总体结论是：</w:t>
        <w:br/>
      </w:r>
      <w:r>
        <w:rPr>
          <w:rFonts w:eastAsia="等线" w:ascii="Arial" w:cs="Arial" w:hAnsi="Arial"/>
          <w:sz w:val="22"/>
        </w:rPr>
        <w:t>相比最强 baseline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平均相对提升达到 8.3%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更有意思的是，这个方法不只是“平均分更高”，它还有几个很强的性质：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8f959e"/>
          <w:sz w:val="32"/>
        </w:rPr>
        <w:t>噪声越多，它越稳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作者专门分析了随着检索文档数量增加，噪声比例也随之升高的情况。很多 baseline 会随着文档增多而性能下降，因为模型更容易被干扰信息带偏。</w:t>
        <w:br/>
      </w:r>
      <w:r>
        <w:rPr>
          <w:rFonts w:eastAsia="等线" w:ascii="Arial" w:cs="Arial" w:hAnsi="Arial"/>
          <w:sz w:val="22"/>
        </w:rPr>
        <w:t>但 InstructRAG-ICL 和 InstructRAG-FT 在这种场景下依然表现稳健，说明它确实学到了显式去噪能力，而不只是背答案模板。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8f959e"/>
          <w:sz w:val="32"/>
        </w:rPr>
        <w:t>ICL 场景下，rationale 比 plain answer 更有用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few-shot 示例通常是“问题 + 答案”，但 InstructRAG 给的是“问题 + 去噪解释”。实验显示，这种示例形式更适合教模型如何处理 noisy retrieval，随着 demonstrations 数量增加，模型还能持续受益。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8f959e"/>
          <w:sz w:val="32"/>
        </w:rPr>
        <w:t>泛化能力不错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作者还做了跨任务泛化实验，比如从 short-form QA 迁移到 long-form QA，从 single-hop 迁移到 multi-hop，甚至还尝试迁移到代码生成任务。整体结果说明，这种“显式解释证据”的能力并不完全依赖某一个具体数据集，而是具有一定任务迁移性。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五、这篇论文最有价值的启发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我觉得，InstructRAG 最值得重视的一点，不只是它提升了几个 benchmark 的分数，而是它提醒我们：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RAG 的关键问题，不只是 retrieval quality，还包括 model-side denoising。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过去很多工作都在优化检索器，比如重排、query rewriting、adaptive retrieval，这些当然重要；但 InstructRAG 走的是另一条路线：</w:t>
      </w:r>
      <w:r>
        <w:rPr>
          <w:rFonts w:eastAsia="等线" w:ascii="Arial" w:cs="Arial" w:hAnsi="Arial"/>
          <w:b w:val="true"/>
          <w:sz w:val="22"/>
        </w:rPr>
        <w:t>就算 retrieval 不能完美，模型本身也应该具备识别噪声、解释证据和稳健作答的能力。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这其实把 RAG 的研究重点往前推了一步。未来的高质量 RAG，可能不再只是“检索 + 生成”，而会逐渐变成：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 + 去噪 + 解释 + 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从这个角度看，InstructRAG 不只是一个小改进，而是在告诉我们：</w:t>
        <w:br/>
      </w:r>
      <w:r>
        <w:rPr>
          <w:rFonts w:eastAsia="等线" w:ascii="Arial" w:cs="Arial" w:hAnsi="Arial"/>
          <w:b w:val="true"/>
          <w:sz w:val="22"/>
        </w:rPr>
        <w:t>真正可靠的 RAG，不应该把“为什么信这段证据”藏在黑箱里。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六、最后总结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如果只用一句话总结这篇论文，那就是：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InstructRAG 用模型自生成的 rationale，把传统 RAG 中隐式、黑盒的去噪过程，变成了可学习、可解释、可验证的显式过程。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它的优势主要体现在三点：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不需要额外人工标注，监督信号可由模型自合成；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同时适用于 ICL 和微调两种场景；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在高噪声、多文档和跨任务条件下，表现出更强的鲁棒性和泛化性。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对于今天的 RAG 研究来说，这篇论文的意义不只是“更准了”，而是它把一个关键问题摆上了台面：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当检索结果本身不可靠时，模型到底有没有能力说明：自己为什么还能做出这个回答？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InstructRAG 给出的答案是：</w:t>
        <w:br/>
      </w:r>
      <w:r>
        <w:rPr>
          <w:rFonts w:eastAsia="等线" w:ascii="Arial" w:cs="Arial" w:hAnsi="Arial"/>
          <w:b w:val="true"/>
          <w:sz w:val="22"/>
        </w:rPr>
        <w:t>可以，而且这种能力值得被单独训练。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https://mp.weixin.qq.com/s/zjlKK8uEiHRDY7ehlafvnQ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393">
    <w:lvl>
      <w:numFmt w:val="bullet"/>
      <w:suff w:val="tab"/>
      <w:lvlText w:val="•"/>
      <w:rPr>
        <w:color w:val="3370ff"/>
      </w:rPr>
    </w:lvl>
  </w:abstractNum>
  <w:abstractNum w:abstractNumId="81394">
    <w:lvl>
      <w:numFmt w:val="bullet"/>
      <w:suff w:val="tab"/>
      <w:lvlText w:val="•"/>
      <w:rPr>
        <w:color w:val="3370ff"/>
      </w:rPr>
    </w:lvl>
  </w:abstractNum>
  <w:abstractNum w:abstractNumId="81395">
    <w:lvl>
      <w:numFmt w:val="bullet"/>
      <w:suff w:val="tab"/>
      <w:lvlText w:val="•"/>
      <w:rPr>
        <w:color w:val="3370ff"/>
      </w:rPr>
    </w:lvl>
  </w:abstractNum>
  <w:abstractNum w:abstractNumId="81396">
    <w:lvl>
      <w:start w:val="1"/>
      <w:numFmt w:val="decimal"/>
      <w:suff w:val="tab"/>
      <w:lvlText w:val="%1."/>
      <w:rPr>
        <w:color w:val="3370ff"/>
      </w:rPr>
    </w:lvl>
  </w:abstractNum>
  <w:abstractNum w:abstractNumId="81397">
    <w:lvl>
      <w:start w:val="2"/>
      <w:numFmt w:val="decimal"/>
      <w:suff w:val="tab"/>
      <w:lvlText w:val="%1."/>
      <w:rPr>
        <w:color w:val="3370ff"/>
      </w:rPr>
    </w:lvl>
  </w:abstractNum>
  <w:abstractNum w:abstractNumId="81398">
    <w:lvl>
      <w:start w:val="3"/>
      <w:numFmt w:val="decimal"/>
      <w:suff w:val="tab"/>
      <w:lvlText w:val="%1."/>
      <w:rPr>
        <w:color w:val="3370ff"/>
      </w:rPr>
    </w:lvl>
  </w:abstractNum>
  <w:abstractNum w:abstractNumId="81399">
    <w:lvl>
      <w:numFmt w:val="bullet"/>
      <w:suff w:val="tab"/>
      <w:lvlText w:val="•"/>
      <w:rPr>
        <w:color w:val="3370ff"/>
      </w:rPr>
    </w:lvl>
  </w:abstractNum>
  <w:abstractNum w:abstractNumId="81400">
    <w:lvl>
      <w:numFmt w:val="bullet"/>
      <w:suff w:val="tab"/>
      <w:lvlText w:val="•"/>
      <w:rPr>
        <w:color w:val="3370ff"/>
      </w:rPr>
    </w:lvl>
  </w:abstractNum>
  <w:abstractNum w:abstractNumId="81401">
    <w:lvl>
      <w:numFmt w:val="bullet"/>
      <w:suff w:val="tab"/>
      <w:lvlText w:val="•"/>
      <w:rPr>
        <w:color w:val="3370ff"/>
      </w:rPr>
    </w:lvl>
  </w:abstractNum>
  <w:abstractNum w:abstractNumId="81402">
    <w:lvl>
      <w:numFmt w:val="bullet"/>
      <w:suff w:val="tab"/>
      <w:lvlText w:val="•"/>
      <w:rPr>
        <w:color w:val="3370ff"/>
      </w:rPr>
    </w:lvl>
  </w:abstractNum>
  <w:abstractNum w:abstractNumId="81403">
    <w:lvl>
      <w:numFmt w:val="bullet"/>
      <w:suff w:val="tab"/>
      <w:lvlText w:val="•"/>
      <w:rPr>
        <w:color w:val="3370ff"/>
      </w:rPr>
    </w:lvl>
  </w:abstractNum>
  <w:num w:numId="1">
    <w:abstractNumId w:val="81393"/>
  </w:num>
  <w:num w:numId="2">
    <w:abstractNumId w:val="81394"/>
  </w:num>
  <w:num w:numId="3">
    <w:abstractNumId w:val="81395"/>
  </w:num>
  <w:num w:numId="4">
    <w:abstractNumId w:val="81396"/>
  </w:num>
  <w:num w:numId="5">
    <w:abstractNumId w:val="81397"/>
  </w:num>
  <w:num w:numId="6">
    <w:abstractNumId w:val="81398"/>
  </w:num>
  <w:num w:numId="7">
    <w:abstractNumId w:val="81399"/>
  </w:num>
  <w:num w:numId="8">
    <w:abstractNumId w:val="81400"/>
  </w:num>
  <w:num w:numId="9">
    <w:abstractNumId w:val="81401"/>
  </w:num>
  <w:num w:numId="10">
    <w:abstractNumId w:val="81402"/>
  </w:num>
  <w:num w:numId="11">
    <w:abstractNumId w:val="814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2026-05-25T10:01:58Z</dcterms:created>
  <dc:creator>Apache POI</dc:creator>
</cp:coreProperties>
</file>