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OPPO开源开放式深度研究模型</w:t>
      </w:r>
    </w:p>
    <w:p>
      <w:pPr>
        <w:pStyle w:val="1"/>
        <w:spacing w:before="380" w:after="140" w:line="288" w:lineRule="auto"/>
        <w:ind w:left="0"/>
        <w:jc w:val="left"/>
        <w:outlineLvl w:val="0"/>
      </w:pPr>
      <w:bookmarkStart w:name="heading_0" w:id="0"/>
      <w:r>
        <w:rPr>
          <w:rFonts w:eastAsia="等线" w:ascii="Arial" w:cs="Arial" w:hAnsi="Arial"/>
          <w:b w:val="true"/>
          <w:sz w:val="36"/>
        </w:rPr>
        <w:t>专项性能超GPT-5/Kimi K2！OPPO开源开放式深度研究模型，多智能体蒸馏与Agentic RL加持</w:t>
      </w:r>
      <w:bookmarkEnd w:id="0"/>
    </w:p>
    <w:p>
      <w:pPr>
        <w:spacing w:before="120" w:after="120" w:line="288" w:lineRule="auto"/>
        <w:ind w:left="0"/>
        <w:jc w:val="left"/>
      </w:pPr>
      <w:r>
        <w:rPr>
          <w:rFonts w:eastAsia="等线" w:ascii="Arial" w:cs="Arial" w:hAnsi="Arial"/>
          <w:sz w:val="22"/>
        </w:rPr>
        <w:t>智猩猩AI整理</w:t>
      </w:r>
    </w:p>
    <w:p>
      <w:pPr>
        <w:spacing w:before="120" w:after="120" w:line="288" w:lineRule="auto"/>
        <w:ind w:left="0"/>
        <w:jc w:val="left"/>
      </w:pPr>
      <w:r>
        <w:rPr>
          <w:rFonts w:eastAsia="等线" w:ascii="Arial" w:cs="Arial" w:hAnsi="Arial"/>
          <w:sz w:val="22"/>
        </w:rPr>
        <w:t>编辑：发发</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大型语言模型（LLM）的快速发展已成为现代人工智能的核心支柱，推动了从自然语言理解到复杂推理等一系列任务的突破性进展 。然而，该领域仍面临一个长期挑战：功能强大的闭源模型与其开源同类模型之间存在性能差距。这种差距通常源于开发者可获取的海量专有高质量训练数据和巨大的计算资源 。在需要长时间思维链和严谨问题解决能力的推理密集型任务中，这种差距尤为明显 。因此，研究界面临着一个重大瓶颈：如何在不依赖这些专属优势的情况下，有效赋能开源模型，使其达到SOTA性能。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克服这一瓶颈的关键途径是生成高质量、多样化且可扩展的指令数据，用于监督微调（SFT）和强化学习（RL）。现有方法通常依赖人工标注或从更大的教师模型中蒸馏，这些方法要么成本过高、规模受限，要么存在继承教师模型局限性的风险 。关键问题在于，标准蒸馏通常只捕捉最终答案，无法传递复杂问题解决所需的复杂 “思维过程”。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为此，</w:t>
      </w:r>
      <w:r>
        <w:rPr>
          <w:rFonts w:eastAsia="等线" w:ascii="Arial" w:cs="Arial" w:hAnsi="Arial"/>
          <w:b w:val="true"/>
          <w:sz w:val="22"/>
        </w:rPr>
        <w:t>OPPO AI Agent团队提出O-Researcher框架，利用Open Ended的特性，通过多智能体驱动的端到端深度研究数据合成，结合创新的两阶段训练策略，使开源模型无需依赖专有数据或模型，在主流深度研究基准上实现新的SOTA性能</w:t>
      </w:r>
      <w:r>
        <w:rPr>
          <w:rFonts w:eastAsia="等线" w:ascii="Arial" w:cs="Arial" w:hAnsi="Arial"/>
          <w:sz w:val="22"/>
        </w:rPr>
        <w:t>。该研究为开源大型语言模型的发展提供了一条可扩展且有效的路径，无需依赖专有数据或模型。</w:t>
      </w:r>
    </w:p>
    <w:p>
      <w:pPr>
        <w:spacing w:before="120" w:after="120" w:line="288" w:lineRule="auto"/>
        <w:ind w:left="0"/>
        <w:jc w:val="left"/>
      </w:pPr>
    </w:p>
    <w:p>
      <w:pPr>
        <w:spacing w:before="120" w:after="120" w:line="288" w:lineRule="auto"/>
        <w:ind w:left="0"/>
        <w:jc w:val="center"/>
      </w:pPr>
      <w:r>
        <w:drawing>
          <wp:inline distT="0" distR="0" distB="0" distL="0">
            <wp:extent cx="5257800" cy="131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314450"/>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论文标题：</w:t>
      </w:r>
    </w:p>
    <w:p>
      <w:pPr>
        <w:numPr>
          <w:numId w:val="2"/>
        </w:numPr>
        <w:spacing w:before="120" w:after="120" w:line="288" w:lineRule="auto"/>
        <w:ind w:left="0"/>
        <w:jc w:val="left"/>
      </w:pPr>
      <w:r>
        <w:rPr>
          <w:rFonts w:eastAsia="等线" w:ascii="Arial" w:cs="Arial" w:hAnsi="Arial"/>
          <w:sz w:val="22"/>
        </w:rPr>
        <w:t xml:space="preserve">O-Researcher: An Open Ended Deep Research Model viaMulti-Agent Distillation and Agentic RL </w:t>
      </w:r>
    </w:p>
    <w:p>
      <w:pPr>
        <w:numPr>
          <w:numId w:val="3"/>
        </w:numPr>
        <w:spacing w:before="120" w:after="120" w:line="288" w:lineRule="auto"/>
        <w:ind w:left="0"/>
        <w:jc w:val="left"/>
      </w:pPr>
      <w:r>
        <w:rPr>
          <w:rFonts w:eastAsia="等线" w:ascii="Arial" w:cs="Arial" w:hAnsi="Arial"/>
          <w:sz w:val="22"/>
        </w:rPr>
        <w:t>论文链接：</w:t>
      </w:r>
    </w:p>
    <w:p>
      <w:pPr>
        <w:numPr>
          <w:numId w:val="4"/>
        </w:numPr>
        <w:spacing w:before="120" w:after="120" w:line="288" w:lineRule="auto"/>
        <w:ind w:left="0"/>
        <w:jc w:val="left"/>
      </w:pPr>
      <w:r>
        <w:rPr>
          <w:rFonts w:eastAsia="等线" w:ascii="Arial" w:cs="Arial" w:hAnsi="Arial"/>
          <w:sz w:val="22"/>
        </w:rPr>
        <w:t>https://arxiv.org/pdf/2601.03743</w:t>
      </w:r>
    </w:p>
    <w:p>
      <w:pPr>
        <w:numPr>
          <w:numId w:val="5"/>
        </w:numPr>
        <w:spacing w:before="120" w:after="120" w:line="288" w:lineRule="auto"/>
        <w:ind w:left="0"/>
        <w:jc w:val="left"/>
      </w:pPr>
      <w:r>
        <w:rPr>
          <w:rFonts w:eastAsia="等线" w:ascii="Arial" w:cs="Arial" w:hAnsi="Arial"/>
          <w:sz w:val="22"/>
        </w:rPr>
        <w:t>代码链接：</w:t>
      </w:r>
    </w:p>
    <w:p>
      <w:pPr>
        <w:numPr>
          <w:numId w:val="6"/>
        </w:numPr>
        <w:spacing w:before="120" w:after="120" w:line="288" w:lineRule="auto"/>
        <w:ind w:left="0"/>
        <w:jc w:val="left"/>
      </w:pPr>
      <w:r>
        <w:rPr>
          <w:rFonts w:eastAsia="等线" w:ascii="Arial" w:cs="Arial" w:hAnsi="Arial"/>
          <w:sz w:val="22"/>
        </w:rPr>
        <w:t>https://github.com/OPPO-PersonalAI/O-Researcher</w:t>
      </w:r>
    </w:p>
    <w:p>
      <w:pPr>
        <w:spacing w:before="120" w:after="120" w:line="288" w:lineRule="auto"/>
        <w:ind w:left="0"/>
        <w:jc w:val="center"/>
      </w:pPr>
    </w:p>
    <w:p>
      <w:pPr>
        <w:pStyle w:val="1"/>
        <w:spacing w:before="380" w:after="140" w:line="288" w:lineRule="auto"/>
        <w:ind w:left="0"/>
        <w:jc w:val="center"/>
        <w:outlineLvl w:val="0"/>
      </w:pPr>
      <w:bookmarkStart w:name="heading_1" w:id="1"/>
      <w:r>
        <w:rPr>
          <w:rFonts w:eastAsia="等线" w:ascii="Arial" w:cs="Arial" w:hAnsi="Arial"/>
          <w:b w:val="true"/>
          <w:i w:val="true"/>
          <w:sz w:val="36"/>
          <w:u w:val="single"/>
        </w:rPr>
        <w:t>01</w:t>
      </w:r>
      <w:bookmarkEnd w:id="1"/>
    </w:p>
    <w:p>
      <w:pPr>
        <w:spacing w:before="120" w:after="120" w:line="288" w:lineRule="auto"/>
        <w:ind w:left="0"/>
        <w:jc w:val="center"/>
      </w:pPr>
      <w:r>
        <w:rPr>
          <w:rFonts w:eastAsia="等线" w:ascii="Arial" w:cs="Arial" w:hAnsi="Arial"/>
          <w:b w:val="true"/>
          <w:sz w:val="22"/>
        </w:rPr>
        <w:t>方法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（1）用于监督微调（SFT）的高质量轨迹生成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研究团队的基础方法建立在精心策划的深度研究工具集成推理轨迹数据集上。该过程涉及两个关键步骤：数据合成和轨迹合成。</w:t>
      </w:r>
    </w:p>
    <w:p>
      <w:pPr>
        <w:spacing w:before="120" w:after="120" w:line="288" w:lineRule="auto"/>
        <w:ind w:left="0"/>
        <w:jc w:val="left"/>
      </w:pPr>
    </w:p>
    <w:p>
      <w:pPr>
        <w:spacing w:before="120" w:after="120" w:line="288" w:lineRule="auto"/>
        <w:ind w:left="0"/>
        <w:jc w:val="center"/>
      </w:pPr>
      <w:r>
        <w:drawing>
          <wp:inline distT="0" distR="0" distB="0" distL="0">
            <wp:extent cx="5257800" cy="2819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19400"/>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图1：O - Researcher的报告生成过程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并行执行工作流：</w:t>
      </w:r>
      <w:r>
        <w:rPr>
          <w:rFonts w:eastAsia="等线" w:ascii="Arial" w:cs="Arial" w:hAnsi="Arial"/>
          <w:sz w:val="22"/>
        </w:rPr>
        <w:t>如图1所示，研究团队设计了一种并行执行工作流来生成研究报告，模拟研究团队中的严格分工。不同模型独立进行多轮工具集成推理，执行连续的"计划-执行-观察"循环以生成详细的子查询报告。这些中间报告随后由专用的总结器模型聚合形成最终答案。同时，所有子报告的基础轨迹被收集合并为单个SFT推理轨迹，确保训练数据捕捉到并行推理过程的全部深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质量保证流程：</w:t>
      </w:r>
      <w:r>
        <w:rPr>
          <w:rFonts w:eastAsia="等线" w:ascii="Arial" w:cs="Arial" w:hAnsi="Arial"/>
          <w:sz w:val="22"/>
        </w:rPr>
        <w:t>为确保生成高保真训练数据，研究团队设计了全面的多阶段拒绝采样流水线。该流程从为每个查询生成三个不同的候选轨迹开始，然后进行基于规则的硬拒绝检查，包括完整性、上下文长度（≤64k tokens）、复杂性阈值（≥10推理步和5个不同工具使用动作）和一致性。通过确定性检查的轨迹继续进行基于Qwen3的LLM-as-a-Judge语义评估，最后进行主题分层的人工抽查作为最终验证层。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结构化数据表示：</w:t>
      </w:r>
      <w:r>
        <w:rPr>
          <w:rFonts w:eastAsia="等线" w:ascii="Arial" w:cs="Arial" w:hAnsi="Arial"/>
          <w:sz w:val="22"/>
        </w:rPr>
        <w:t>研究团队使用连贯的XML风格模式序列化轨迹，训练序列被结构化以明确暴露模型的逐步推理和工具使用行为。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（2）基于 AI 反馈的强化学习（RLAIF）</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为进一步提升模型生成高质量、新颖、全面研究报告的能力，研究团队引入强化学习阶段，采用GRPO算法。</w:t>
      </w:r>
    </w:p>
    <w:p>
      <w:pPr>
        <w:spacing w:before="120" w:after="120" w:line="288" w:lineRule="auto"/>
        <w:ind w:left="0"/>
        <w:jc w:val="left"/>
      </w:pPr>
    </w:p>
    <w:p>
      <w:pPr>
        <w:spacing w:before="120" w:after="120" w:line="288" w:lineRule="auto"/>
        <w:ind w:left="0"/>
        <w:jc w:val="center"/>
      </w:pPr>
      <w:r>
        <w:drawing>
          <wp:inline distT="0" distR="0" distB="0" distL="0">
            <wp:extent cx="5257800" cy="1657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657350"/>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图2：深层研究模型训练过程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奖励函数设计：</w:t>
      </w:r>
      <w:r>
        <w:rPr>
          <w:rFonts w:eastAsia="等线" w:ascii="Arial" w:cs="Arial" w:hAnsi="Arial"/>
          <w:sz w:val="22"/>
        </w:rPr>
        <w:t>研究团队的奖励函数旨在平衡报告质量、工具利用效率和格式合规性，公式化为三个主要组件的加权组合：</w:t>
      </w:r>
    </w:p>
    <w:p>
      <w:pPr>
        <w:spacing w:before="120" w:after="120" w:line="288" w:lineRule="auto"/>
        <w:ind w:left="0"/>
        <w:jc w:val="left"/>
      </w:pPr>
    </w:p>
    <w:p>
      <w:pPr>
        <w:spacing w:before="120" w:after="120" w:line="288" w:lineRule="auto"/>
        <w:ind w:left="0"/>
        <w:jc w:val="center"/>
      </w:pPr>
      <w:r>
        <w:drawing>
          <wp:inline distT="0" distR="0" distB="0" distL="0">
            <wp:extent cx="5257800" cy="495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95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研究团队设置 w(1)=0.6,w(2)=0.2和 w(3)=0.2，更强调高质量报告生成，同时仍鼓励适当的工具使用行为。基础质量奖励R(base)从评估每个（问题，生成报告）对的LLM-as-a-Judge获得，沿四个维度计算：全面性、洞察力、指令遵循性和可读性。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工具使用奖励：</w:t>
      </w:r>
      <w:r>
        <w:rPr>
          <w:rFonts w:eastAsia="等线" w:ascii="Arial" w:cs="Arial" w:hAnsi="Arial"/>
          <w:sz w:val="22"/>
        </w:rPr>
        <w:t>为鼓励适当的证据收集，研究团队定义，N(calls)=min(web_search, crawl_page)，N(min)=2，N(max)=8。工具使用奖励为：</w:t>
      </w:r>
    </w:p>
    <w:p>
      <w:pPr>
        <w:spacing w:before="120" w:after="120" w:line="288" w:lineRule="auto"/>
        <w:ind w:left="0"/>
        <w:jc w:val="left"/>
      </w:pPr>
    </w:p>
    <w:p>
      <w:pPr>
        <w:spacing w:before="120" w:after="120" w:line="288" w:lineRule="auto"/>
        <w:ind w:left="0"/>
        <w:jc w:val="center"/>
      </w:pPr>
      <w:r>
        <w:drawing>
          <wp:inline distT="0" distR="0" distB="0" distL="0">
            <wp:extent cx="5257800" cy="19431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格式化奖励：</w:t>
      </w:r>
      <w:r>
        <w:rPr>
          <w:rFonts w:eastAsia="等线" w:ascii="Arial" w:cs="Arial" w:hAnsi="Arial"/>
          <w:sz w:val="22"/>
        </w:rPr>
        <w:t>格式化奖励强制执行结构正确性，验证两个严格条件：</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sz w:val="22"/>
        </w:rPr>
        <w:t>所有XML风格标签必须对称闭合</w:t>
      </w:r>
    </w:p>
    <w:p>
      <w:pPr>
        <w:numPr>
          <w:numId w:val="8"/>
        </w:numPr>
        <w:spacing w:before="120" w:after="120" w:line="288" w:lineRule="auto"/>
        <w:ind w:left="0"/>
        <w:jc w:val="left"/>
      </w:pPr>
      <w:r>
        <w:rPr>
          <w:rFonts w:eastAsia="等线" w:ascii="Arial" w:cs="Arial" w:hAnsi="Arial"/>
          <w:sz w:val="22"/>
        </w:rPr>
        <w:t>输出必须包含&lt;suggested_answer&gt;标签。违反任一条件都会产生零格式化奖励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（3）并行执行与推理步骤优化</w:t>
      </w:r>
    </w:p>
    <w:p>
      <w:pPr>
        <w:spacing w:before="120" w:after="120" w:line="288" w:lineRule="auto"/>
        <w:ind w:left="0"/>
        <w:jc w:val="left"/>
      </w:pPr>
    </w:p>
    <w:p>
      <w:pPr>
        <w:spacing w:before="120" w:after="120" w:line="288" w:lineRule="auto"/>
        <w:ind w:left="0"/>
        <w:jc w:val="center"/>
      </w:pPr>
      <w:r>
        <w:drawing>
          <wp:inline distT="0" distR="0" distB="0" distL="0">
            <wp:extent cx="5257800" cy="13620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362075"/>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图3：并行执行定性案例研究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并行执行优势：</w:t>
      </w:r>
      <w:r>
        <w:rPr>
          <w:rFonts w:eastAsia="等线" w:ascii="Arial" w:cs="Arial" w:hAnsi="Arial"/>
          <w:sz w:val="22"/>
        </w:rPr>
        <w:t>为定量评估并行执行策略的影响，研究团队比较了GPT-5使用和不使用并行执行工作流的性能。如图3所示，通过案例研究展示了并行执行在复杂任务中的有效性。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推理步骤优化：</w:t>
      </w:r>
      <w:r>
        <w:rPr>
          <w:rFonts w:eastAsia="等线" w:ascii="Arial" w:cs="Arial" w:hAnsi="Arial"/>
          <w:sz w:val="22"/>
        </w:rPr>
        <w:t>研究团队尝试了三种不同的工作流步骤：5、10和20。</w:t>
      </w:r>
    </w:p>
    <w:p>
      <w:pPr>
        <w:spacing w:before="120" w:after="120" w:line="288" w:lineRule="auto"/>
        <w:ind w:left="0"/>
        <w:jc w:val="left"/>
      </w:pPr>
    </w:p>
    <w:p>
      <w:pPr>
        <w:pStyle w:val="1"/>
        <w:spacing w:before="380" w:after="140" w:line="288" w:lineRule="auto"/>
        <w:ind w:left="0"/>
        <w:jc w:val="center"/>
        <w:outlineLvl w:val="0"/>
      </w:pPr>
      <w:bookmarkStart w:name="heading_2" w:id="2"/>
      <w:r>
        <w:rPr>
          <w:rFonts w:eastAsia="等线" w:ascii="Arial" w:cs="Arial" w:hAnsi="Arial"/>
          <w:b w:val="true"/>
          <w:i w:val="true"/>
          <w:sz w:val="36"/>
          <w:u w:val="single"/>
        </w:rPr>
        <w:t>02</w:t>
      </w:r>
      <w:bookmarkEnd w:id="2"/>
    </w:p>
    <w:p>
      <w:pPr>
        <w:spacing w:before="120" w:after="120" w:line="288" w:lineRule="auto"/>
        <w:ind w:left="0"/>
        <w:jc w:val="center"/>
      </w:pPr>
      <w:r>
        <w:rPr>
          <w:rFonts w:eastAsia="等线" w:ascii="Arial" w:cs="Arial" w:hAnsi="Arial"/>
          <w:b w:val="true"/>
          <w:sz w:val="22"/>
        </w:rPr>
        <w:t>评估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（1）DeepResearch Bench基准结果</w:t>
      </w:r>
    </w:p>
    <w:p>
      <w:pPr>
        <w:spacing w:before="120" w:after="120" w:line="288" w:lineRule="auto"/>
        <w:ind w:left="0"/>
        <w:jc w:val="left"/>
      </w:pPr>
    </w:p>
    <w:p>
      <w:pPr>
        <w:spacing w:before="120" w:after="120" w:line="288" w:lineRule="auto"/>
        <w:ind w:left="0"/>
        <w:jc w:val="center"/>
      </w:pPr>
      <w:r>
        <w:drawing>
          <wp:inline distT="0" distR="0" distB="0" distL="0">
            <wp:extent cx="5257800" cy="29051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05125"/>
                    </a:xfrm>
                    <a:prstGeom prst="rect">
                      <a:avLst/>
                    </a:prstGeom>
                  </pic:spPr>
                </pic:pic>
              </a:graphicData>
            </a:graphic>
          </wp:inline>
        </w:drawing>
      </w:r>
    </w:p>
    <w:p>
      <w:pPr>
        <w:spacing w:before="120" w:after="120" w:line="288" w:lineRule="auto"/>
        <w:ind w:left="0"/>
        <w:jc w:val="center"/>
      </w:pPr>
      <w:r>
        <w:rPr>
          <w:rFonts w:eastAsia="等线" w:ascii="Arial" w:cs="Arial" w:hAnsi="Arial"/>
          <w:i w:val="true"/>
          <w:sz w:val="22"/>
        </w:rPr>
        <w:t>图4：(a)深度研究模型；(b)深度研究Agents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如图4所示，O-Researcher在包含100个doctoral-level研究任务的DeepResearch Bench上，</w:t>
      </w:r>
      <w:r>
        <w:rPr>
          <w:rFonts w:eastAsia="等线" w:ascii="Arial" w:cs="Arial" w:hAnsi="Arial"/>
          <w:b w:val="true"/>
          <w:sz w:val="22"/>
        </w:rPr>
        <w:t>实现了开源模型的新SOTA性能</w:t>
      </w:r>
      <w:r>
        <w:rPr>
          <w:rFonts w:eastAsia="等线" w:ascii="Arial" w:cs="Arial" w:hAnsi="Arial"/>
          <w:sz w:val="22"/>
        </w:rPr>
        <w:t>。</w:t>
      </w:r>
    </w:p>
    <w:p>
      <w:pPr>
        <w:spacing w:before="120" w:after="120" w:line="288" w:lineRule="auto"/>
        <w:ind w:left="0"/>
        <w:jc w:val="left"/>
      </w:pPr>
    </w:p>
    <w:p>
      <w:pPr>
        <w:spacing w:before="120" w:after="120" w:line="288" w:lineRule="auto"/>
        <w:ind w:left="0"/>
        <w:jc w:val="center"/>
      </w:pPr>
      <w:r>
        <w:rPr>
          <w:rFonts w:eastAsia="等线" w:ascii="Arial" w:cs="Arial" w:hAnsi="Arial"/>
          <w:i w:val="true"/>
          <w:sz w:val="22"/>
        </w:rPr>
        <w:t>表1：Deep Research Bench整体评估结果</w:t>
      </w:r>
    </w:p>
    <w:p>
      <w:pPr>
        <w:spacing w:before="120" w:after="120" w:line="288" w:lineRule="auto"/>
        <w:ind w:left="0"/>
        <w:jc w:val="center"/>
      </w:pPr>
      <w:r>
        <w:drawing>
          <wp:inline distT="0" distR="0" distB="0" distL="0">
            <wp:extent cx="5257800" cy="34480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448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O-Researcher-RL以48.48的总体得分建立开源新SOTA</w:t>
      </w:r>
      <w:r>
        <w:rPr>
          <w:rFonts w:eastAsia="等线" w:ascii="Arial" w:cs="Arial" w:hAnsi="Arial"/>
          <w:sz w:val="22"/>
        </w:rPr>
        <w:t>，多轮准确率从基线的33.38%提升至48.48%，有效引用数从8.96大幅提升至26.01。这一结果表明，多智能体工作流成功解决了研究级数据规模化生成难题，通过模拟研究团队分工协作，无需人工标注即可产出高保真轨迹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（2）DeepResearchGym评估结果</w:t>
      </w:r>
    </w:p>
    <w:p>
      <w:pPr>
        <w:spacing w:before="120" w:after="120" w:line="288" w:lineRule="auto"/>
        <w:ind w:left="0"/>
        <w:jc w:val="left"/>
      </w:pPr>
    </w:p>
    <w:p>
      <w:pPr>
        <w:spacing w:before="120" w:after="120" w:line="288" w:lineRule="auto"/>
        <w:ind w:left="0"/>
        <w:jc w:val="center"/>
      </w:pPr>
      <w:r>
        <w:rPr>
          <w:rFonts w:eastAsia="等线" w:ascii="Arial" w:cs="Arial" w:hAnsi="Arial"/>
          <w:i w:val="true"/>
          <w:sz w:val="22"/>
        </w:rPr>
        <w:t>表2：对DeepResearchgym - Commercial - 100评估结果</w:t>
      </w:r>
    </w:p>
    <w:p>
      <w:pPr>
        <w:spacing w:before="120" w:after="120" w:line="288" w:lineRule="auto"/>
        <w:ind w:left="0"/>
        <w:jc w:val="center"/>
      </w:pPr>
      <w:r>
        <w:drawing>
          <wp:inline distT="0" distR="0" distB="0" distL="0">
            <wp:extent cx="5257800" cy="27813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781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O-Researcher-72B在开源模型中实现 SOTA，且与闭源商业智能体竞争力极强</w:t>
      </w:r>
      <w:r>
        <w:rPr>
          <w:rFonts w:eastAsia="等线" w:ascii="Arial" w:cs="Arial" w:hAnsi="Arial"/>
          <w:sz w:val="22"/>
        </w:rPr>
        <w:t>；O-Researcher-72B在清晰度（100.00）和洞察力（99.3）上取得近乎完美分数，引用精度51.45为全类别最高，在保持高召回率的同时避免了幻觉引用。这证明了</w:t>
      </w:r>
      <w:r>
        <w:rPr>
          <w:rFonts w:eastAsia="等线" w:ascii="Arial" w:cs="Arial" w:hAnsi="Arial"/>
          <w:b w:val="true"/>
          <w:sz w:val="22"/>
        </w:rPr>
        <w:t>两阶段训练策略（SFT+RLAIF）有效平衡了模型的分析深度与事实严谨性</w:t>
      </w:r>
      <w:r>
        <w:rPr>
          <w:rFonts w:eastAsia="等线" w:ascii="Arial" w:cs="Arial" w:hAnsi="Arial"/>
          <w:sz w:val="22"/>
        </w:rPr>
        <w:t>，使开源模型在深度研究任务上实现突破性进展。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（3）并行执行有效性验证</w:t>
      </w:r>
    </w:p>
    <w:p>
      <w:pPr>
        <w:spacing w:before="120" w:after="120" w:line="288" w:lineRule="auto"/>
        <w:ind w:left="0"/>
        <w:jc w:val="left"/>
      </w:pPr>
    </w:p>
    <w:p>
      <w:pPr>
        <w:spacing w:before="120" w:after="120" w:line="288" w:lineRule="auto"/>
        <w:ind w:left="0"/>
        <w:jc w:val="center"/>
      </w:pPr>
      <w:r>
        <w:rPr>
          <w:rFonts w:eastAsia="等线" w:ascii="Arial" w:cs="Arial" w:hAnsi="Arial"/>
          <w:i w:val="true"/>
          <w:sz w:val="22"/>
        </w:rPr>
        <w:t>表3：GPT-5 有无并行工作流的性能对比</w:t>
      </w:r>
    </w:p>
    <w:p>
      <w:pPr>
        <w:spacing w:before="120" w:after="120" w:line="288" w:lineRule="auto"/>
        <w:ind w:left="0"/>
        <w:jc w:val="center"/>
      </w:pPr>
      <w:r>
        <w:drawing>
          <wp:inline distT="0" distR="0" distB="0" distL="0">
            <wp:extent cx="5257800" cy="800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8001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并行执行使GPT-5总体得分从42.92提升至49.60，全面性（40.59→49.61）和洞察力（38.58→48.69）提升最为显著。这种</w:t>
      </w:r>
      <w:r>
        <w:rPr>
          <w:rFonts w:eastAsia="等线" w:ascii="Arial" w:cs="Arial" w:hAnsi="Arial"/>
          <w:b w:val="true"/>
          <w:sz w:val="22"/>
        </w:rPr>
        <w:t>并行化减轻了顺序生成中固有的上下文竞争</w:t>
      </w:r>
      <w:r>
        <w:rPr>
          <w:rFonts w:eastAsia="等线" w:ascii="Arial" w:cs="Arial" w:hAnsi="Arial"/>
          <w:sz w:val="22"/>
        </w:rPr>
        <w:t>，通过隔离搜索上下文，智能体成功检索并保留了细粒度证据。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（4）推理步数优化分析</w:t>
      </w:r>
    </w:p>
    <w:p>
      <w:pPr>
        <w:spacing w:before="120" w:after="120" w:line="288" w:lineRule="auto"/>
        <w:ind w:left="0"/>
        <w:jc w:val="left"/>
      </w:pPr>
    </w:p>
    <w:p>
      <w:pPr>
        <w:spacing w:before="120" w:after="120" w:line="288" w:lineRule="auto"/>
        <w:ind w:left="0"/>
        <w:jc w:val="center"/>
      </w:pPr>
      <w:r>
        <w:rPr>
          <w:rFonts w:eastAsia="等线" w:ascii="Arial" w:cs="Arial" w:hAnsi="Arial"/>
          <w:i w:val="true"/>
          <w:sz w:val="22"/>
        </w:rPr>
        <w:t>表4：推理步数的影响（基于 OAgents 框架的性能）</w:t>
      </w:r>
    </w:p>
    <w:p>
      <w:pPr>
        <w:spacing w:before="120" w:after="120" w:line="288" w:lineRule="auto"/>
        <w:ind w:left="0"/>
        <w:jc w:val="center"/>
      </w:pPr>
      <w:r>
        <w:drawing>
          <wp:inline distT="0" distR="0" distB="0" distL="0">
            <wp:extent cx="5257800" cy="904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904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10步工作流在性能与成本间取得最佳平衡</w:t>
      </w:r>
      <w:r>
        <w:rPr>
          <w:rFonts w:eastAsia="等线" w:ascii="Arial" w:cs="Arial" w:hAnsi="Arial"/>
          <w:sz w:val="22"/>
        </w:rPr>
        <w:t>，较5步方法总体得分提升0.81分，而20步虽略有提升但计算开销大幅增加。这表明更细粒度的任务分解能够实现对研究问题更彻底的探索，64k上下文窗口、10步推理、并行执行被验证为提升深度研究能力的关键技术参数。</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参考</w:t>
      </w:r>
      <w:bookmarkEnd w:id="3"/>
    </w:p>
    <w:p>
      <w:pPr>
        <w:spacing w:before="120" w:after="120" w:line="288" w:lineRule="auto"/>
        <w:ind w:left="0"/>
        <w:jc w:val="left"/>
      </w:pPr>
      <w:r>
        <w:rPr>
          <w:rFonts w:eastAsia="等线" w:ascii="Arial" w:cs="Arial" w:hAnsi="Arial"/>
          <w:sz w:val="22"/>
        </w:rPr>
        <w:t>https://mp.weixin.qq.com/s/6W-X05DcTH6bN-rfoiE5Zw</w:t>
      </w: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7416">
    <w:lvl>
      <w:numFmt w:val="bullet"/>
      <w:suff w:val="tab"/>
      <w:lvlText w:val="•"/>
      <w:rPr>
        <w:color w:val="3370ff"/>
      </w:rPr>
    </w:lvl>
  </w:abstractNum>
  <w:abstractNum w:abstractNumId="537417">
    <w:lvl>
      <w:numFmt w:val="bullet"/>
      <w:suff w:val="tab"/>
      <w:lvlText w:val="•"/>
      <w:rPr>
        <w:color w:val="3370ff"/>
      </w:rPr>
    </w:lvl>
  </w:abstractNum>
  <w:abstractNum w:abstractNumId="537418">
    <w:lvl>
      <w:numFmt w:val="bullet"/>
      <w:suff w:val="tab"/>
      <w:lvlText w:val="•"/>
      <w:rPr>
        <w:color w:val="3370ff"/>
      </w:rPr>
    </w:lvl>
  </w:abstractNum>
  <w:abstractNum w:abstractNumId="537419">
    <w:lvl>
      <w:numFmt w:val="bullet"/>
      <w:suff w:val="tab"/>
      <w:lvlText w:val="•"/>
      <w:rPr>
        <w:color w:val="3370ff"/>
      </w:rPr>
    </w:lvl>
  </w:abstractNum>
  <w:abstractNum w:abstractNumId="537420">
    <w:lvl>
      <w:numFmt w:val="bullet"/>
      <w:suff w:val="tab"/>
      <w:lvlText w:val="•"/>
      <w:rPr>
        <w:color w:val="3370ff"/>
      </w:rPr>
    </w:lvl>
  </w:abstractNum>
  <w:abstractNum w:abstractNumId="537421">
    <w:lvl>
      <w:numFmt w:val="bullet"/>
      <w:suff w:val="tab"/>
      <w:lvlText w:val="•"/>
      <w:rPr>
        <w:color w:val="3370ff"/>
      </w:rPr>
    </w:lvl>
  </w:abstractNum>
  <w:abstractNum w:abstractNumId="537422">
    <w:lvl>
      <w:numFmt w:val="bullet"/>
      <w:suff w:val="tab"/>
      <w:lvlText w:val="•"/>
      <w:rPr>
        <w:color w:val="3370ff"/>
      </w:rPr>
    </w:lvl>
  </w:abstractNum>
  <w:abstractNum w:abstractNumId="537423">
    <w:lvl>
      <w:numFmt w:val="bullet"/>
      <w:suff w:val="tab"/>
      <w:lvlText w:val="•"/>
      <w:rPr>
        <w:color w:val="3370ff"/>
      </w:rPr>
    </w:lvl>
  </w:abstractNum>
  <w:num w:numId="1">
    <w:abstractNumId w:val="537416"/>
  </w:num>
  <w:num w:numId="2">
    <w:abstractNumId w:val="537417"/>
  </w:num>
  <w:num w:numId="3">
    <w:abstractNumId w:val="537418"/>
  </w:num>
  <w:num w:numId="4">
    <w:abstractNumId w:val="537419"/>
  </w:num>
  <w:num w:numId="5">
    <w:abstractNumId w:val="537420"/>
  </w:num>
  <w:num w:numId="6">
    <w:abstractNumId w:val="537421"/>
  </w:num>
  <w:num w:numId="7">
    <w:abstractNumId w:val="537422"/>
  </w:num>
  <w:num w:numId="8">
    <w:abstractNumId w:val="5374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2026-01-20T02:47:17Z</dcterms:created>
  <dc:creator>Apache POI</dc:creator>
</cp:coreProperties>
</file>