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F0AC" w14:textId="77777777" w:rsidR="00365FE0" w:rsidRDefault="00E26E58">
      <w:pPr>
        <w:jc w:val="center"/>
      </w:pPr>
      <w:r>
        <w:rPr>
          <w:b/>
          <w:bCs/>
          <w:sz w:val="28"/>
          <w:szCs w:val="36"/>
        </w:rPr>
        <w:t>一脉集团</w:t>
      </w:r>
      <w:r>
        <w:rPr>
          <w:rFonts w:hint="eastAsia"/>
          <w:b/>
          <w:bCs/>
          <w:sz w:val="28"/>
          <w:szCs w:val="36"/>
        </w:rPr>
        <w:t>医学影像</w:t>
      </w:r>
      <w:r>
        <w:rPr>
          <w:b/>
          <w:bCs/>
          <w:sz w:val="28"/>
          <w:szCs w:val="36"/>
        </w:rPr>
        <w:t>数据标准化</w:t>
      </w:r>
      <w:r>
        <w:rPr>
          <w:rFonts w:hint="eastAsia"/>
          <w:b/>
          <w:bCs/>
          <w:sz w:val="28"/>
          <w:szCs w:val="36"/>
        </w:rPr>
        <w:t>建设</w:t>
      </w:r>
      <w:r>
        <w:rPr>
          <w:b/>
          <w:bCs/>
          <w:sz w:val="28"/>
          <w:szCs w:val="36"/>
        </w:rPr>
        <w:t>：从混沌到秩序的革新</w:t>
      </w:r>
    </w:p>
    <w:p w14:paraId="01FBBF65" w14:textId="77777777" w:rsidR="00365FE0" w:rsidRDefault="00E26E58">
      <w:pPr>
        <w:pStyle w:val="2"/>
      </w:pPr>
      <w:r>
        <w:t>一、背景</w:t>
      </w:r>
    </w:p>
    <w:p w14:paraId="4CEC7E71" w14:textId="77777777" w:rsidR="00DC2647" w:rsidRDefault="00E26E58" w:rsidP="00DC2647">
      <w:pPr>
        <w:ind w:firstLineChars="200" w:firstLine="420"/>
      </w:pPr>
      <w:r>
        <w:t>在这个大数据的时代，数据的价值日益显现。一脉集团旗下的机构遍布全国各地的省、市、县，包括公立的三级、二级卫生院以及社区卫生院，还有非公医疗机构和各类体检中心。</w:t>
      </w:r>
      <w:r w:rsidR="00DC2647">
        <w:rPr>
          <w:rFonts w:hint="eastAsia"/>
          <w:b/>
          <w:bCs/>
        </w:rPr>
        <w:t>一脉云的存储的海量数据</w:t>
      </w:r>
      <w:r w:rsidR="00DC2647">
        <w:rPr>
          <w:rFonts w:hint="eastAsia"/>
          <w:b/>
          <w:bCs/>
        </w:rPr>
        <w:t>达到</w:t>
      </w:r>
      <w:r w:rsidR="00DC2647">
        <w:rPr>
          <w:rFonts w:hint="eastAsia"/>
          <w:b/>
          <w:bCs/>
        </w:rPr>
        <w:t>千万份，</w:t>
      </w:r>
      <w:r w:rsidR="00DC2647">
        <w:rPr>
          <w:rFonts w:hint="eastAsia"/>
          <w:b/>
          <w:bCs/>
        </w:rPr>
        <w:t>每天的检查</w:t>
      </w:r>
      <w:r w:rsidR="00DC2647">
        <w:rPr>
          <w:rFonts w:hint="eastAsia"/>
          <w:b/>
          <w:bCs/>
        </w:rPr>
        <w:t>3</w:t>
      </w:r>
      <w:r w:rsidR="00DC2647">
        <w:rPr>
          <w:rFonts w:hint="eastAsia"/>
          <w:b/>
          <w:bCs/>
        </w:rPr>
        <w:t>万例，而</w:t>
      </w:r>
      <w:r w:rsidR="00DC2647">
        <w:rPr>
          <w:rFonts w:hint="eastAsia"/>
          <w:b/>
          <w:bCs/>
        </w:rPr>
        <w:t>影像检查项目名称</w:t>
      </w:r>
      <w:r w:rsidR="00DC2647">
        <w:rPr>
          <w:rFonts w:hint="eastAsia"/>
          <w:b/>
          <w:bCs/>
        </w:rPr>
        <w:t>有</w:t>
      </w:r>
      <w:r w:rsidR="00DC2647">
        <w:rPr>
          <w:rFonts w:hint="eastAsia"/>
          <w:b/>
          <w:bCs/>
        </w:rPr>
        <w:t>2</w:t>
      </w:r>
      <w:r w:rsidR="00DC2647">
        <w:rPr>
          <w:b/>
          <w:bCs/>
        </w:rPr>
        <w:t>5</w:t>
      </w:r>
      <w:r w:rsidR="00DC2647">
        <w:rPr>
          <w:rFonts w:hint="eastAsia"/>
          <w:b/>
          <w:bCs/>
        </w:rPr>
        <w:t>万</w:t>
      </w:r>
      <w:r w:rsidR="00DC2647">
        <w:rPr>
          <w:rFonts w:hint="eastAsia"/>
          <w:b/>
          <w:bCs/>
        </w:rPr>
        <w:t>之多，</w:t>
      </w:r>
      <w:r>
        <w:t>由于每个中心的数据存在差异，导致无法进行统一的统计</w:t>
      </w:r>
      <w:r w:rsidR="00DC2647">
        <w:rPr>
          <w:rFonts w:hint="eastAsia"/>
        </w:rPr>
        <w:t>和</w:t>
      </w:r>
      <w:r>
        <w:t>分析</w:t>
      </w:r>
      <w:r>
        <w:t>，从而无法为运营、质控、绩效等方面提供有效的支持。</w:t>
      </w:r>
    </w:p>
    <w:p w14:paraId="001BE9C2" w14:textId="27BB860D" w:rsidR="00365FE0" w:rsidRPr="00DC2647" w:rsidRDefault="00E26E58" w:rsidP="00DC2647">
      <w:pPr>
        <w:ind w:firstLineChars="200" w:firstLine="420"/>
        <w:rPr>
          <w:rFonts w:hint="eastAsia"/>
          <w:b/>
          <w:bCs/>
        </w:rPr>
      </w:pPr>
      <w:r>
        <w:t>此外，国家、地区、行业在执行的数据标准也没有统一的规定。</w:t>
      </w:r>
      <w:r>
        <w:rPr>
          <w:rFonts w:hint="eastAsia"/>
        </w:rPr>
        <w:t>例如</w:t>
      </w:r>
      <w:r>
        <w:t>，国家医保和各省医保在检查项目的定义和编码上，都无法完全满足目前各级医疗机构的实际需求。因此，对于一脉集团而言，如何将分布广泛、多元化的机构产生的海量数据转化为有用的信息和洞察</w:t>
      </w:r>
      <w:r>
        <w:rPr>
          <w:rFonts w:hint="eastAsia"/>
        </w:rPr>
        <w:t>，</w:t>
      </w:r>
      <w:r>
        <w:t>是一</w:t>
      </w:r>
      <w:r>
        <w:t>项重大挑战。</w:t>
      </w:r>
    </w:p>
    <w:p w14:paraId="49E36E66" w14:textId="77777777" w:rsidR="00365FE0" w:rsidRDefault="00E26E58">
      <w:pPr>
        <w:ind w:firstLineChars="200" w:firstLine="420"/>
      </w:pPr>
      <w:r>
        <w:t>面对这一挑战，数据标准化是解决问题的关键。一脉集团需要一个科学的、专业的、覆盖面广、认可度高的数据标准。通过推行统一标准，各机构才有可能实现真正的互联互通互用，从而最大程度地发挥海量数据在统计、分析和决策方面的作用。</w:t>
      </w:r>
    </w:p>
    <w:p w14:paraId="113CE9E3" w14:textId="77777777" w:rsidR="00365FE0" w:rsidRDefault="00365FE0">
      <w:pPr>
        <w:ind w:firstLineChars="200" w:firstLine="420"/>
        <w:jc w:val="center"/>
      </w:pPr>
    </w:p>
    <w:p w14:paraId="410EC807" w14:textId="77777777" w:rsidR="00365FE0" w:rsidRDefault="00E26E58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3932040E" wp14:editId="03851931">
            <wp:extent cx="1765738" cy="2604647"/>
            <wp:effectExtent l="101600" t="101600" r="101600" b="139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9" r="18359"/>
                    <a:stretch/>
                  </pic:blipFill>
                  <pic:spPr bwMode="auto">
                    <a:xfrm>
                      <a:off x="0" y="0"/>
                      <a:ext cx="1766252" cy="2605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8B61D" w14:textId="77777777" w:rsidR="0038274E" w:rsidRDefault="0038274E" w:rsidP="0038274E">
      <w:pPr>
        <w:ind w:firstLineChars="200" w:firstLine="420"/>
        <w:jc w:val="center"/>
      </w:pPr>
      <w:r>
        <w:rPr>
          <w:rFonts w:hint="eastAsia"/>
        </w:rPr>
        <w:t>表一：数据中“胸部</w:t>
      </w:r>
      <w:r>
        <w:rPr>
          <w:rFonts w:hint="eastAsia"/>
        </w:rPr>
        <w:t>CT</w:t>
      </w:r>
      <w:r>
        <w:rPr>
          <w:rFonts w:hint="eastAsia"/>
        </w:rPr>
        <w:t>平扫”的不同检查名称</w:t>
      </w:r>
    </w:p>
    <w:p w14:paraId="6F1C7FEB" w14:textId="77777777" w:rsidR="00365FE0" w:rsidRPr="0038274E" w:rsidRDefault="00365FE0">
      <w:pPr>
        <w:ind w:firstLineChars="200" w:firstLine="420"/>
        <w:jc w:val="center"/>
      </w:pPr>
    </w:p>
    <w:p w14:paraId="70320661" w14:textId="77777777" w:rsidR="00365FE0" w:rsidRDefault="00365FE0" w:rsidP="0038274E">
      <w:pPr>
        <w:rPr>
          <w:highlight w:val="yellow"/>
        </w:rPr>
      </w:pPr>
    </w:p>
    <w:p w14:paraId="794F7F3D" w14:textId="77777777" w:rsidR="00365FE0" w:rsidRDefault="00E26E58">
      <w:pPr>
        <w:pStyle w:val="2"/>
      </w:pPr>
      <w:r>
        <w:rPr>
          <w:rFonts w:hint="eastAsia"/>
        </w:rPr>
        <w:t>二、标准化建设的进程</w:t>
      </w:r>
    </w:p>
    <w:p w14:paraId="79D13BAC" w14:textId="258F6172" w:rsidR="00365FE0" w:rsidRDefault="00E26E58">
      <w:pPr>
        <w:ind w:firstLineChars="200" w:firstLine="420"/>
      </w:pPr>
      <w:r>
        <w:t>在一脉集团，标准化建设被视为一项重要的战略任务。</w:t>
      </w:r>
      <w:r w:rsidR="00C63D27">
        <w:rPr>
          <w:rFonts w:hint="eastAsia"/>
        </w:rPr>
        <w:t>在</w:t>
      </w:r>
      <w:r>
        <w:rPr>
          <w:rFonts w:hint="eastAsia"/>
        </w:rPr>
        <w:t>2</w:t>
      </w:r>
      <w:r>
        <w:t>021</w:t>
      </w:r>
      <w:r>
        <w:t>年</w:t>
      </w:r>
      <w:r w:rsidR="00C63D27">
        <w:rPr>
          <w:rFonts w:hint="eastAsia"/>
        </w:rPr>
        <w:t>初，</w:t>
      </w:r>
      <w:r>
        <w:rPr>
          <w:rFonts w:hint="eastAsia"/>
        </w:rPr>
        <w:t>集团</w:t>
      </w:r>
      <w:r w:rsidR="00C63D27">
        <w:rPr>
          <w:rFonts w:hint="eastAsia"/>
        </w:rPr>
        <w:t>从</w:t>
      </w:r>
      <w:r w:rsidR="00885F31">
        <w:rPr>
          <w:rFonts w:hint="eastAsia"/>
        </w:rPr>
        <w:t>影像医院医学部、质控中心、影像学院、</w:t>
      </w:r>
      <w:r w:rsidR="00C63D27">
        <w:rPr>
          <w:rFonts w:hint="eastAsia"/>
        </w:rPr>
        <w:t>各</w:t>
      </w:r>
      <w:r w:rsidR="00885F31">
        <w:rPr>
          <w:rFonts w:hint="eastAsia"/>
        </w:rPr>
        <w:t>影像中心</w:t>
      </w:r>
      <w:r w:rsidR="00C63D27">
        <w:rPr>
          <w:rFonts w:hint="eastAsia"/>
        </w:rPr>
        <w:t>抽调了近</w:t>
      </w:r>
      <w:r w:rsidR="00C63D27">
        <w:rPr>
          <w:rFonts w:hint="eastAsia"/>
        </w:rPr>
        <w:t>2</w:t>
      </w:r>
      <w:r w:rsidR="00C63D27">
        <w:t>0</w:t>
      </w:r>
      <w:r w:rsidR="00C63D27">
        <w:rPr>
          <w:rFonts w:hint="eastAsia"/>
        </w:rPr>
        <w:t>位专家和技术骨干（主任医生），</w:t>
      </w:r>
      <w:r w:rsidR="00C63D27">
        <w:rPr>
          <w:rFonts w:hint="eastAsia"/>
        </w:rPr>
        <w:t>由产品委员会牵头</w:t>
      </w:r>
      <w:r w:rsidR="00C63D27">
        <w:rPr>
          <w:rFonts w:hint="eastAsia"/>
        </w:rPr>
        <w:t>组成标准化委员会，</w:t>
      </w:r>
      <w:r>
        <w:t>开展</w:t>
      </w:r>
      <w:r w:rsidR="00885F31">
        <w:rPr>
          <w:rFonts w:hint="eastAsia"/>
        </w:rPr>
        <w:t>《一脉医学影像检查项目名称及编码标准》（以下简称《标准》）</w:t>
      </w:r>
      <w:r>
        <w:t>制订工作。在制订</w:t>
      </w:r>
      <w:r>
        <w:t>过程中，</w:t>
      </w:r>
      <w:r>
        <w:rPr>
          <w:rFonts w:hint="eastAsia"/>
        </w:rPr>
        <w:t>团队</w:t>
      </w:r>
      <w:r w:rsidR="0038274E">
        <w:rPr>
          <w:rFonts w:hint="eastAsia"/>
        </w:rPr>
        <w:t>参考医保收费目录、国家相关标准、卫计委发布的历年相关条目文件，同时</w:t>
      </w:r>
      <w:r>
        <w:rPr>
          <w:rFonts w:hint="eastAsia"/>
        </w:rPr>
        <w:t>查</w:t>
      </w:r>
      <w:r>
        <w:t>阅了国内外相关的医学影像学资料库和临床指南，并结</w:t>
      </w:r>
      <w:r>
        <w:lastRenderedPageBreak/>
        <w:t>合集团的实际</w:t>
      </w:r>
      <w:r w:rsidR="0038274E">
        <w:rPr>
          <w:rFonts w:hint="eastAsia"/>
        </w:rPr>
        <w:t>运行数据</w:t>
      </w:r>
      <w:r>
        <w:t>，</w:t>
      </w:r>
      <w:r w:rsidR="0038274E">
        <w:rPr>
          <w:rFonts w:hint="eastAsia"/>
        </w:rPr>
        <w:t>首先</w:t>
      </w:r>
      <w:r>
        <w:t>完成了对</w:t>
      </w:r>
      <w:r>
        <w:t>CT</w:t>
      </w:r>
      <w:r>
        <w:t>、</w:t>
      </w:r>
      <w:r>
        <w:t>MRI</w:t>
      </w:r>
      <w:r>
        <w:t>、</w:t>
      </w:r>
      <w:r>
        <w:t>DR</w:t>
      </w:r>
      <w:r>
        <w:t>等放射学标准的</w:t>
      </w:r>
      <w:r w:rsidR="00C63D27">
        <w:rPr>
          <w:rFonts w:hint="eastAsia"/>
        </w:rPr>
        <w:t>讨论和研发</w:t>
      </w:r>
      <w:r w:rsidR="0038274E">
        <w:rPr>
          <w:rFonts w:hint="eastAsia"/>
        </w:rPr>
        <w:t>，进而</w:t>
      </w:r>
      <w:r>
        <w:rPr>
          <w:rFonts w:hint="eastAsia"/>
        </w:rPr>
        <w:t>团队</w:t>
      </w:r>
      <w:r>
        <w:t>还对核医学的</w:t>
      </w:r>
      <w:r>
        <w:t>PET/CT</w:t>
      </w:r>
      <w:r>
        <w:t>、</w:t>
      </w:r>
      <w:r>
        <w:t>PET/MR</w:t>
      </w:r>
      <w:r>
        <w:t>、</w:t>
      </w:r>
      <w:r>
        <w:t>SPECT</w:t>
      </w:r>
      <w:r>
        <w:t>以及超声标准等进行</w:t>
      </w:r>
      <w:r w:rsidR="0038274E">
        <w:rPr>
          <w:rFonts w:hint="eastAsia"/>
        </w:rPr>
        <w:t>了深入</w:t>
      </w:r>
      <w:r>
        <w:t>研究</w:t>
      </w:r>
      <w:r w:rsidR="0038274E">
        <w:rPr>
          <w:rFonts w:hint="eastAsia"/>
        </w:rPr>
        <w:t>探讨</w:t>
      </w:r>
      <w:r w:rsidR="00C63D27">
        <w:rPr>
          <w:rFonts w:hint="eastAsia"/>
        </w:rPr>
        <w:t>，</w:t>
      </w:r>
      <w:r>
        <w:rPr>
          <w:rFonts w:hint="eastAsia"/>
        </w:rPr>
        <w:t>于</w:t>
      </w:r>
      <w:r>
        <w:t>2021</w:t>
      </w:r>
      <w:r>
        <w:t>年</w:t>
      </w:r>
      <w:r>
        <w:t>5</w:t>
      </w:r>
      <w:r>
        <w:t>月完成了</w:t>
      </w:r>
      <w:r w:rsidR="0038274E">
        <w:rPr>
          <w:rFonts w:hint="eastAsia"/>
        </w:rPr>
        <w:t>第一版（</w:t>
      </w:r>
      <w:r>
        <w:t>V1.0</w:t>
      </w:r>
      <w:r w:rsidR="0038274E">
        <w:rPr>
          <w:rFonts w:hint="eastAsia"/>
        </w:rPr>
        <w:t>）</w:t>
      </w:r>
      <w:r>
        <w:t>标准制定</w:t>
      </w:r>
      <w:r w:rsidR="00885F31">
        <w:rPr>
          <w:rFonts w:hint="eastAsia"/>
        </w:rPr>
        <w:t>，</w:t>
      </w:r>
      <w:r w:rsidR="00885F31">
        <w:rPr>
          <w:rFonts w:hint="eastAsia"/>
        </w:rPr>
        <w:t>7</w:t>
      </w:r>
      <w:r w:rsidR="00885F31">
        <w:rPr>
          <w:rFonts w:hint="eastAsia"/>
        </w:rPr>
        <w:t>月</w:t>
      </w:r>
      <w:r>
        <w:rPr>
          <w:rFonts w:hint="eastAsia"/>
        </w:rPr>
        <w:t>并</w:t>
      </w:r>
      <w:r>
        <w:t>在集团内部上线</w:t>
      </w:r>
      <w:r>
        <w:t>，</w:t>
      </w:r>
      <w:r w:rsidR="00885F31">
        <w:rPr>
          <w:rFonts w:hint="eastAsia"/>
        </w:rPr>
        <w:t>在运行过程中，集团内的各级专业的医技师对标准的提出了各种改进意见和建议，使得标准得以不断完善、优化和升级</w:t>
      </w:r>
      <w:r>
        <w:t>。</w:t>
      </w:r>
    </w:p>
    <w:p w14:paraId="1A756958" w14:textId="77777777" w:rsidR="00065D7D" w:rsidRDefault="00E26E58">
      <w:pPr>
        <w:ind w:firstLineChars="200" w:firstLine="420"/>
      </w:pPr>
      <w:r>
        <w:t>2022</w:t>
      </w:r>
      <w:r>
        <w:t>年</w:t>
      </w:r>
      <w:r>
        <w:t>3</w:t>
      </w:r>
      <w:r>
        <w:t>月，数据标准化工作得到了集团领导的高度认可，并被确立为集团的</w:t>
      </w:r>
      <w:r>
        <w:t>“</w:t>
      </w:r>
      <w:r>
        <w:t>一号工程</w:t>
      </w:r>
      <w:r>
        <w:t>”</w:t>
      </w:r>
      <w:r w:rsidR="000E026F">
        <w:rPr>
          <w:rFonts w:hint="eastAsia"/>
        </w:rPr>
        <w:t>，并在集团内部进行宣传和推广，</w:t>
      </w:r>
      <w:r w:rsidR="00385EE6">
        <w:rPr>
          <w:rFonts w:hint="eastAsia"/>
        </w:rPr>
        <w:t>并组织</w:t>
      </w:r>
      <w:r w:rsidR="00385EE6">
        <w:rPr>
          <w:rFonts w:hint="eastAsia"/>
        </w:rPr>
        <w:t>IT</w:t>
      </w:r>
      <w:r w:rsidR="00385EE6">
        <w:rPr>
          <w:rFonts w:hint="eastAsia"/>
        </w:rPr>
        <w:t>研发</w:t>
      </w:r>
      <w:r w:rsidR="00385EE6">
        <w:rPr>
          <w:rFonts w:hint="eastAsia"/>
        </w:rPr>
        <w:t>团队</w:t>
      </w:r>
      <w:r w:rsidR="00065D7D">
        <w:rPr>
          <w:rFonts w:hint="eastAsia"/>
        </w:rPr>
        <w:t>将</w:t>
      </w:r>
      <w:r w:rsidR="00065D7D">
        <w:rPr>
          <w:rFonts w:hint="eastAsia"/>
        </w:rPr>
        <w:t>标准化数据应用</w:t>
      </w:r>
      <w:r w:rsidR="00065D7D">
        <w:rPr>
          <w:rFonts w:hint="eastAsia"/>
        </w:rPr>
        <w:t>到</w:t>
      </w:r>
      <w:r w:rsidR="00385EE6">
        <w:rPr>
          <w:rFonts w:hint="eastAsia"/>
        </w:rPr>
        <w:t>“跨中心的专业学组报告分配系统”、“</w:t>
      </w:r>
      <w:r w:rsidR="00385EE6">
        <w:rPr>
          <w:rFonts w:hint="eastAsia"/>
        </w:rPr>
        <w:t>AI</w:t>
      </w:r>
      <w:r w:rsidR="00385EE6">
        <w:rPr>
          <w:rFonts w:hint="eastAsia"/>
        </w:rPr>
        <w:t>集成平台”、“智能导检系统”、“质控系统”、“精细化运营分析系统”等</w:t>
      </w:r>
      <w:r w:rsidR="00065D7D">
        <w:rPr>
          <w:rFonts w:hint="eastAsia"/>
        </w:rPr>
        <w:t>系统中</w:t>
      </w:r>
      <w:r w:rsidR="00385EE6">
        <w:rPr>
          <w:rFonts w:hint="eastAsia"/>
        </w:rPr>
        <w:t>。</w:t>
      </w:r>
    </w:p>
    <w:p w14:paraId="6AEB20B4" w14:textId="2C3F2B47" w:rsidR="00365FE0" w:rsidRDefault="00C63D27" w:rsidP="00065D7D">
      <w:pPr>
        <w:ind w:firstLineChars="200" w:firstLine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 w:rsidR="00CF7559">
        <w:rPr>
          <w:rFonts w:hint="eastAsia"/>
        </w:rPr>
        <w:t>为了检验</w:t>
      </w:r>
      <w:r w:rsidR="00065D7D">
        <w:rPr>
          <w:rFonts w:hint="eastAsia"/>
        </w:rPr>
        <w:t>和提升《</w:t>
      </w:r>
      <w:r w:rsidR="00CF7559">
        <w:rPr>
          <w:rFonts w:hint="eastAsia"/>
        </w:rPr>
        <w:t>标准</w:t>
      </w:r>
      <w:r w:rsidR="00065D7D">
        <w:rPr>
          <w:rFonts w:hint="eastAsia"/>
        </w:rPr>
        <w:t>》</w:t>
      </w:r>
      <w:r w:rsidR="00CF7559">
        <w:rPr>
          <w:rFonts w:hint="eastAsia"/>
        </w:rPr>
        <w:t>的</w:t>
      </w:r>
      <w:r w:rsidR="00065D7D">
        <w:rPr>
          <w:rFonts w:hint="eastAsia"/>
        </w:rPr>
        <w:t>水准和</w:t>
      </w:r>
      <w:r w:rsidR="00CF7559">
        <w:rPr>
          <w:rFonts w:hint="eastAsia"/>
        </w:rPr>
        <w:t>质量，</w:t>
      </w:r>
      <w:r w:rsidR="00065D7D">
        <w:rPr>
          <w:rFonts w:hint="eastAsia"/>
        </w:rPr>
        <w:t>集团</w:t>
      </w:r>
      <w:r w:rsidR="00CF7559">
        <w:rPr>
          <w:rFonts w:hint="eastAsia"/>
        </w:rPr>
        <w:t>专门请《</w:t>
      </w:r>
      <w:r>
        <w:rPr>
          <w:rFonts w:hint="eastAsia"/>
        </w:rPr>
        <w:t>人民卫生出版社</w:t>
      </w:r>
      <w:r w:rsidR="00CF7559">
        <w:rPr>
          <w:rFonts w:hint="eastAsia"/>
        </w:rPr>
        <w:t>医学研究院》</w:t>
      </w:r>
      <w:r w:rsidR="00E26E58">
        <w:t>组织</w:t>
      </w:r>
      <w:r w:rsidR="00E26E58">
        <w:t>专家</w:t>
      </w:r>
      <w:r w:rsidR="00E26E58">
        <w:t>对</w:t>
      </w:r>
      <w:r w:rsidR="00065D7D">
        <w:rPr>
          <w:rFonts w:hint="eastAsia"/>
        </w:rPr>
        <w:t>《</w:t>
      </w:r>
      <w:r w:rsidR="00E26E58">
        <w:t>标准</w:t>
      </w:r>
      <w:r w:rsidR="00065D7D">
        <w:rPr>
          <w:rFonts w:hint="eastAsia"/>
        </w:rPr>
        <w:t>》</w:t>
      </w:r>
      <w:r w:rsidR="00E26E58">
        <w:t>进行了线</w:t>
      </w:r>
      <w:r w:rsidR="00E26E58">
        <w:t>上和线下的综合评审</w:t>
      </w:r>
      <w:r w:rsidR="00CF7559">
        <w:rPr>
          <w:rFonts w:hint="eastAsia"/>
        </w:rPr>
        <w:t>，人卫社聘请的专家包括了医学临床及影像专业的权威专家、</w:t>
      </w:r>
      <w:r w:rsidR="00065D7D">
        <w:rPr>
          <w:rFonts w:hint="eastAsia"/>
        </w:rPr>
        <w:t>医疗</w:t>
      </w:r>
      <w:r w:rsidR="00CF7559">
        <w:rPr>
          <w:rFonts w:hint="eastAsia"/>
        </w:rPr>
        <w:t>行业主管部门标准化方面专家</w:t>
      </w:r>
      <w:r w:rsidR="000E026F">
        <w:rPr>
          <w:rFonts w:hint="eastAsia"/>
        </w:rPr>
        <w:t>以及医</w:t>
      </w:r>
      <w:r w:rsidR="00065D7D">
        <w:rPr>
          <w:rFonts w:hint="eastAsia"/>
        </w:rPr>
        <w:t>学</w:t>
      </w:r>
      <w:r w:rsidR="00CF7559">
        <w:rPr>
          <w:rFonts w:hint="eastAsia"/>
        </w:rPr>
        <w:t>统计信息化标准方面的专家</w:t>
      </w:r>
      <w:r w:rsidR="000E026F">
        <w:rPr>
          <w:rFonts w:hint="eastAsia"/>
        </w:rPr>
        <w:t>，</w:t>
      </w:r>
      <w:r w:rsidR="00E26E58">
        <w:t>评审专家组对</w:t>
      </w:r>
      <w:r w:rsidR="000E026F">
        <w:rPr>
          <w:rFonts w:hint="eastAsia"/>
        </w:rPr>
        <w:t>《标准》的立意、结构以及内容都</w:t>
      </w:r>
      <w:r w:rsidR="00E26E58">
        <w:t>给予了</w:t>
      </w:r>
      <w:r w:rsidR="000E026F">
        <w:rPr>
          <w:rFonts w:hint="eastAsia"/>
        </w:rPr>
        <w:t>高度肯定的</w:t>
      </w:r>
      <w:r w:rsidR="00E26E58">
        <w:rPr>
          <w:rFonts w:hint="eastAsia"/>
        </w:rPr>
        <w:t>评</w:t>
      </w:r>
      <w:r w:rsidR="00E26E58">
        <w:t>价，</w:t>
      </w:r>
      <w:r w:rsidR="00E26E58">
        <w:t>认为这些标准对</w:t>
      </w:r>
      <w:r w:rsidR="000E026F">
        <w:rPr>
          <w:rFonts w:hint="eastAsia"/>
        </w:rPr>
        <w:t>医疗</w:t>
      </w:r>
      <w:r w:rsidR="00065D7D">
        <w:rPr>
          <w:rFonts w:hint="eastAsia"/>
        </w:rPr>
        <w:t>操作的实际应用、医院的</w:t>
      </w:r>
      <w:r w:rsidR="000E026F">
        <w:rPr>
          <w:rFonts w:hint="eastAsia"/>
        </w:rPr>
        <w:t>规范化管理、医疗数据的互联互通、统计分析</w:t>
      </w:r>
      <w:r w:rsidR="00E26E58">
        <w:rPr>
          <w:rFonts w:hint="eastAsia"/>
        </w:rPr>
        <w:t>都</w:t>
      </w:r>
      <w:r w:rsidR="00E26E58">
        <w:t>具有</w:t>
      </w:r>
      <w:r w:rsidR="000E026F">
        <w:rPr>
          <w:rFonts w:hint="eastAsia"/>
        </w:rPr>
        <w:t>切实</w:t>
      </w:r>
      <w:r w:rsidR="00E26E58">
        <w:t>意义</w:t>
      </w:r>
      <w:r w:rsidR="000E026F">
        <w:rPr>
          <w:rFonts w:hint="eastAsia"/>
        </w:rPr>
        <w:t>，同时</w:t>
      </w:r>
      <w:r w:rsidR="00E26E58">
        <w:t>专家组也从</w:t>
      </w:r>
      <w:r w:rsidR="000E026F">
        <w:rPr>
          <w:rFonts w:hint="eastAsia"/>
        </w:rPr>
        <w:t>不同的</w:t>
      </w:r>
      <w:r w:rsidR="00E26E58">
        <w:t>专业角度</w:t>
      </w:r>
      <w:r w:rsidR="000E026F">
        <w:rPr>
          <w:rFonts w:hint="eastAsia"/>
        </w:rPr>
        <w:t>对标准中的一些具体内容</w:t>
      </w:r>
      <w:r w:rsidR="00E26E58">
        <w:rPr>
          <w:rFonts w:hint="eastAsia"/>
        </w:rPr>
        <w:t>提</w:t>
      </w:r>
      <w:r w:rsidR="000E026F">
        <w:rPr>
          <w:rFonts w:hint="eastAsia"/>
        </w:rPr>
        <w:t>出</w:t>
      </w:r>
      <w:r w:rsidR="00E26E58">
        <w:t>意见和建议。</w:t>
      </w:r>
      <w:r w:rsidR="00065D7D">
        <w:rPr>
          <w:rFonts w:hint="eastAsia"/>
        </w:rPr>
        <w:t>团队充分听取和研究专家的意见和建议</w:t>
      </w:r>
      <w:r w:rsidR="00E26E58">
        <w:t>，</w:t>
      </w:r>
      <w:r w:rsidR="00D661F7">
        <w:rPr>
          <w:rFonts w:hint="eastAsia"/>
        </w:rPr>
        <w:t>并</w:t>
      </w:r>
      <w:r w:rsidR="00E26E58">
        <w:rPr>
          <w:rFonts w:hint="eastAsia"/>
        </w:rPr>
        <w:t>对</w:t>
      </w:r>
      <w:r w:rsidR="00E26E58">
        <w:t>原有的标准进行了</w:t>
      </w:r>
      <w:r w:rsidR="00065D7D">
        <w:rPr>
          <w:rFonts w:hint="eastAsia"/>
        </w:rPr>
        <w:t>进一步的</w:t>
      </w:r>
      <w:r w:rsidR="00E26E58">
        <w:rPr>
          <w:rFonts w:hint="eastAsia"/>
        </w:rPr>
        <w:t>优</w:t>
      </w:r>
      <w:r w:rsidR="00E26E58">
        <w:t>化，使其更加符合临床实际需要。</w:t>
      </w:r>
    </w:p>
    <w:p w14:paraId="595296E5" w14:textId="77777777" w:rsidR="00365FE0" w:rsidRDefault="00365FE0">
      <w:pPr>
        <w:ind w:firstLineChars="200" w:firstLine="420"/>
      </w:pPr>
    </w:p>
    <w:p w14:paraId="01985907" w14:textId="00F6DC49" w:rsidR="00365FE0" w:rsidRDefault="00E26E58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78648809" wp14:editId="43C3AF90">
            <wp:extent cx="4354830" cy="1219200"/>
            <wp:effectExtent l="0" t="0" r="381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7EFD" w14:textId="5CC1527F" w:rsidR="00D661F7" w:rsidRDefault="00D661F7" w:rsidP="00D661F7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表二、《</w:t>
      </w:r>
      <w:r>
        <w:t>标准</w:t>
      </w:r>
      <w:r>
        <w:rPr>
          <w:rFonts w:hint="eastAsia"/>
        </w:rPr>
        <w:t>》的版本和项目数</w:t>
      </w:r>
    </w:p>
    <w:p w14:paraId="196DA068" w14:textId="77777777" w:rsidR="00D661F7" w:rsidRPr="00D661F7" w:rsidRDefault="00D661F7">
      <w:pPr>
        <w:ind w:firstLineChars="200" w:firstLine="420"/>
        <w:jc w:val="center"/>
        <w:rPr>
          <w:rFonts w:hint="eastAsia"/>
        </w:rPr>
      </w:pPr>
    </w:p>
    <w:p w14:paraId="4C9C1E29" w14:textId="754D242A" w:rsidR="00365FE0" w:rsidRDefault="00E26E58">
      <w:pPr>
        <w:pStyle w:val="2"/>
      </w:pPr>
      <w:r>
        <w:rPr>
          <w:rFonts w:hint="eastAsia"/>
        </w:rPr>
        <w:t>三、标准化体系</w:t>
      </w:r>
      <w:r w:rsidR="00D661F7">
        <w:rPr>
          <w:rFonts w:hint="eastAsia"/>
        </w:rPr>
        <w:t>简单介绍</w:t>
      </w:r>
    </w:p>
    <w:p w14:paraId="1C3DE2B7" w14:textId="0FEE6A2D" w:rsidR="00365FE0" w:rsidRDefault="00E26E58">
      <w:pPr>
        <w:ind w:firstLineChars="200" w:firstLine="420"/>
        <w:rPr>
          <w:rFonts w:hint="eastAsia"/>
        </w:rPr>
      </w:pPr>
      <w:r>
        <w:rPr>
          <w:rFonts w:hint="eastAsia"/>
        </w:rPr>
        <w:t>一脉集团</w:t>
      </w:r>
      <w:r>
        <w:rPr>
          <w:rFonts w:hint="eastAsia"/>
        </w:rPr>
        <w:t>标准化体系包括</w:t>
      </w:r>
      <w:r w:rsidR="00651360">
        <w:rPr>
          <w:rFonts w:hint="eastAsia"/>
        </w:rPr>
        <w:t>四</w:t>
      </w:r>
      <w:r w:rsidR="00D661F7">
        <w:rPr>
          <w:rFonts w:hint="eastAsia"/>
        </w:rPr>
        <w:t>大板块，</w:t>
      </w:r>
      <w:r w:rsidR="00D661F7">
        <w:rPr>
          <w:rFonts w:hint="eastAsia"/>
        </w:rPr>
        <w:t>1</w:t>
      </w:r>
      <w:r w:rsidR="00D661F7">
        <w:rPr>
          <w:rFonts w:hint="eastAsia"/>
        </w:rPr>
        <w:t>、</w:t>
      </w:r>
      <w:r>
        <w:rPr>
          <w:rFonts w:hint="eastAsia"/>
        </w:rPr>
        <w:t>检查项目名称及编码标准</w:t>
      </w:r>
      <w:r w:rsidR="00D661F7">
        <w:rPr>
          <w:rFonts w:hint="eastAsia"/>
        </w:rPr>
        <w:t>；</w:t>
      </w:r>
      <w:r w:rsidR="00D661F7">
        <w:rPr>
          <w:rFonts w:hint="eastAsia"/>
        </w:rPr>
        <w:t>2</w:t>
      </w:r>
      <w:r w:rsidR="00D661F7">
        <w:rPr>
          <w:rFonts w:hint="eastAsia"/>
        </w:rPr>
        <w:t>、标准检查项目的</w:t>
      </w:r>
      <w:r>
        <w:t>操作规范</w:t>
      </w:r>
      <w:r w:rsidR="00D661F7">
        <w:rPr>
          <w:rFonts w:hint="eastAsia"/>
        </w:rPr>
        <w:t>；</w:t>
      </w:r>
      <w:r w:rsidR="00D661F7">
        <w:t>3</w:t>
      </w:r>
      <w:r w:rsidR="00D661F7">
        <w:rPr>
          <w:rFonts w:hint="eastAsia"/>
        </w:rPr>
        <w:t>、</w:t>
      </w:r>
      <w:r>
        <w:rPr>
          <w:rFonts w:hint="eastAsia"/>
        </w:rPr>
        <w:t>标准</w:t>
      </w:r>
      <w:r w:rsidR="00D661F7">
        <w:rPr>
          <w:rFonts w:hint="eastAsia"/>
        </w:rPr>
        <w:t>检查项目的</w:t>
      </w:r>
      <w:r>
        <w:rPr>
          <w:rFonts w:hint="eastAsia"/>
        </w:rPr>
        <w:t>适用</w:t>
      </w:r>
      <w:r w:rsidR="00D661F7">
        <w:rPr>
          <w:rFonts w:hint="eastAsia"/>
        </w:rPr>
        <w:t>疾病、诊断内容、及相关应用</w:t>
      </w:r>
      <w:r>
        <w:rPr>
          <w:rFonts w:hint="eastAsia"/>
        </w:rPr>
        <w:t>。</w:t>
      </w:r>
      <w:r w:rsidR="00651360">
        <w:rPr>
          <w:rFonts w:hint="eastAsia"/>
        </w:rPr>
        <w:t>4</w:t>
      </w:r>
      <w:r w:rsidR="00651360">
        <w:rPr>
          <w:rFonts w:hint="eastAsia"/>
        </w:rPr>
        <w:t>、标准版本管理系统</w:t>
      </w:r>
    </w:p>
    <w:p w14:paraId="0D2F40EE" w14:textId="77777777" w:rsidR="00365FE0" w:rsidRDefault="00E26E5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检查项目名称及编码标准</w:t>
      </w:r>
    </w:p>
    <w:p w14:paraId="68DA91A5" w14:textId="5EED83A6" w:rsidR="00365FE0" w:rsidRDefault="00E26E58">
      <w:pPr>
        <w:rPr>
          <w:b/>
          <w:bCs/>
        </w:rPr>
      </w:pPr>
      <w:r>
        <w:rPr>
          <w:rFonts w:hint="eastAsia"/>
          <w:b/>
          <w:bCs/>
        </w:rPr>
        <w:t>标准项目名称</w:t>
      </w:r>
    </w:p>
    <w:p w14:paraId="24126712" w14:textId="77777777" w:rsidR="00365FE0" w:rsidRDefault="00E26E58">
      <w:pPr>
        <w:ind w:firstLineChars="200" w:firstLine="420"/>
      </w:pPr>
      <w:r>
        <w:rPr>
          <w:rFonts w:hint="eastAsia"/>
        </w:rPr>
        <w:t>医学影像检查项目的命名规则应保持一致，以确保项目名称的信息完整性、可读性、可解释性、科学性、唯一性、可扩展性。项目名称应包含以下主要元素：</w:t>
      </w:r>
    </w:p>
    <w:p w14:paraId="7108E83D" w14:textId="1E53B3C8" w:rsidR="00365FE0" w:rsidRDefault="00E26E58">
      <w:pPr>
        <w:numPr>
          <w:ilvl w:val="0"/>
          <w:numId w:val="1"/>
        </w:numPr>
      </w:pPr>
      <w:r>
        <w:rPr>
          <w:rFonts w:hint="eastAsia"/>
        </w:rPr>
        <w:t>设备</w:t>
      </w:r>
      <w:r w:rsidR="00017028">
        <w:rPr>
          <w:rFonts w:hint="eastAsia"/>
        </w:rPr>
        <w:t>模态</w:t>
      </w:r>
      <w:r w:rsidR="00017028">
        <w:rPr>
          <w:rFonts w:hint="eastAsia"/>
        </w:rPr>
        <w:t>/</w:t>
      </w:r>
      <w:r>
        <w:rPr>
          <w:rFonts w:hint="eastAsia"/>
        </w:rPr>
        <w:t>类型：例如</w:t>
      </w:r>
      <w:r>
        <w:rPr>
          <w:rFonts w:hint="eastAsia"/>
        </w:rPr>
        <w:t>CT</w:t>
      </w:r>
      <w:r>
        <w:rPr>
          <w:rFonts w:hint="eastAsia"/>
        </w:rPr>
        <w:t>、</w:t>
      </w:r>
      <w:r>
        <w:rPr>
          <w:rFonts w:hint="eastAsia"/>
        </w:rPr>
        <w:t>MR</w:t>
      </w:r>
      <w:r>
        <w:rPr>
          <w:rFonts w:hint="eastAsia"/>
        </w:rPr>
        <w:t>、</w:t>
      </w:r>
      <w:r>
        <w:rPr>
          <w:rFonts w:hint="eastAsia"/>
        </w:rPr>
        <w:t>DR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7DC27008" w14:textId="77777777" w:rsidR="00365FE0" w:rsidRDefault="00E26E58">
      <w:pPr>
        <w:numPr>
          <w:ilvl w:val="0"/>
          <w:numId w:val="1"/>
        </w:numPr>
      </w:pPr>
      <w:r>
        <w:rPr>
          <w:rFonts w:hint="eastAsia"/>
        </w:rPr>
        <w:t>检查部位：例如颅脑、胸部、上腹部等</w:t>
      </w:r>
      <w:r>
        <w:rPr>
          <w:rFonts w:hint="eastAsia"/>
        </w:rPr>
        <w:t>;</w:t>
      </w:r>
    </w:p>
    <w:p w14:paraId="2750D71F" w14:textId="5FAC9B5E" w:rsidR="00365FE0" w:rsidRDefault="00017028">
      <w:pPr>
        <w:numPr>
          <w:ilvl w:val="0"/>
          <w:numId w:val="1"/>
        </w:numPr>
      </w:pPr>
      <w:r>
        <w:rPr>
          <w:rFonts w:hint="eastAsia"/>
        </w:rPr>
        <w:t>扫描</w:t>
      </w:r>
      <w:r>
        <w:rPr>
          <w:rFonts w:hint="eastAsia"/>
        </w:rPr>
        <w:t>/</w:t>
      </w:r>
      <w:r>
        <w:rPr>
          <w:rFonts w:hint="eastAsia"/>
        </w:rPr>
        <w:t>成像</w:t>
      </w:r>
      <w:r w:rsidR="00E26E58">
        <w:rPr>
          <w:rFonts w:hint="eastAsia"/>
        </w:rPr>
        <w:t>方式：例如平扫、增强等。</w:t>
      </w:r>
    </w:p>
    <w:p w14:paraId="63598F9C" w14:textId="6F733B81" w:rsidR="00365FE0" w:rsidRDefault="00017028">
      <w:pPr>
        <w:numPr>
          <w:ilvl w:val="0"/>
          <w:numId w:val="1"/>
        </w:numPr>
      </w:pPr>
      <w:r>
        <w:rPr>
          <w:rFonts w:hint="eastAsia"/>
        </w:rPr>
        <w:t>后处理</w:t>
      </w:r>
      <w:r>
        <w:rPr>
          <w:rFonts w:hint="eastAsia"/>
        </w:rPr>
        <w:t>/</w:t>
      </w:r>
      <w:r>
        <w:rPr>
          <w:rFonts w:hint="eastAsia"/>
        </w:rPr>
        <w:t>摆位</w:t>
      </w:r>
      <w:r w:rsidR="00E26E58">
        <w:rPr>
          <w:rFonts w:hint="eastAsia"/>
        </w:rPr>
        <w:t>：例如</w:t>
      </w:r>
      <w:r>
        <w:rPr>
          <w:rFonts w:hint="eastAsia"/>
        </w:rPr>
        <w:t>三维重建</w:t>
      </w:r>
      <w:r w:rsidR="00E26E58">
        <w:rPr>
          <w:rFonts w:hint="eastAsia"/>
        </w:rPr>
        <w:t>、</w:t>
      </w:r>
      <w:r>
        <w:rPr>
          <w:rFonts w:hint="eastAsia"/>
        </w:rPr>
        <w:t>正侧位</w:t>
      </w:r>
      <w:r w:rsidR="00E26E58">
        <w:rPr>
          <w:rFonts w:hint="eastAsia"/>
        </w:rPr>
        <w:t>等。</w:t>
      </w:r>
    </w:p>
    <w:p w14:paraId="32BEA413" w14:textId="47547CF8" w:rsidR="00017028" w:rsidRDefault="00017028">
      <w:pPr>
        <w:numPr>
          <w:ilvl w:val="0"/>
          <w:numId w:val="1"/>
        </w:numPr>
      </w:pPr>
      <w:r>
        <w:rPr>
          <w:rFonts w:hint="eastAsia"/>
        </w:rPr>
        <w:t>附加系统：集团内</w:t>
      </w:r>
      <w:r>
        <w:rPr>
          <w:rFonts w:hint="eastAsia"/>
        </w:rPr>
        <w:t>/</w:t>
      </w:r>
      <w:r>
        <w:rPr>
          <w:rFonts w:hint="eastAsia"/>
        </w:rPr>
        <w:t>外</w:t>
      </w:r>
    </w:p>
    <w:p w14:paraId="7DE73B38" w14:textId="77777777" w:rsidR="00365FE0" w:rsidRDefault="00365FE0">
      <w:pPr>
        <w:ind w:left="420"/>
      </w:pPr>
    </w:p>
    <w:p w14:paraId="283D6F5D" w14:textId="427DCECC" w:rsidR="00365FE0" w:rsidRDefault="00E26E58" w:rsidP="00017028">
      <w:pPr>
        <w:ind w:firstLineChars="200" w:firstLine="420"/>
      </w:pPr>
      <w:r>
        <w:rPr>
          <w:rFonts w:hint="eastAsia"/>
        </w:rPr>
        <w:t>项目名称示例，如：</w:t>
      </w:r>
      <w:r>
        <w:rPr>
          <w:rFonts w:hint="eastAsia"/>
        </w:rPr>
        <w:t>* CT</w:t>
      </w:r>
      <w:r>
        <w:rPr>
          <w:rFonts w:hint="eastAsia"/>
        </w:rPr>
        <w:t>颅脑（平扫）</w:t>
      </w:r>
      <w:r w:rsidR="00017028">
        <w:rPr>
          <w:rFonts w:hint="eastAsia"/>
        </w:rPr>
        <w:t>，</w:t>
      </w:r>
      <w:r>
        <w:rPr>
          <w:rFonts w:hint="eastAsia"/>
        </w:rPr>
        <w:t>* MR</w:t>
      </w:r>
      <w:r>
        <w:rPr>
          <w:rFonts w:hint="eastAsia"/>
        </w:rPr>
        <w:t>胸部（平扫</w:t>
      </w:r>
      <w:r>
        <w:rPr>
          <w:rFonts w:hint="eastAsia"/>
        </w:rPr>
        <w:t>+</w:t>
      </w:r>
      <w:r>
        <w:rPr>
          <w:rFonts w:hint="eastAsia"/>
        </w:rPr>
        <w:t>增强）</w:t>
      </w:r>
      <w:r w:rsidR="00017028">
        <w:rPr>
          <w:rFonts w:hint="eastAsia"/>
        </w:rPr>
        <w:t>，</w:t>
      </w:r>
      <w:r>
        <w:rPr>
          <w:rFonts w:hint="eastAsia"/>
        </w:rPr>
        <w:t>* DR</w:t>
      </w:r>
      <w:r>
        <w:rPr>
          <w:rFonts w:hint="eastAsia"/>
        </w:rPr>
        <w:t>颈椎正位</w:t>
      </w:r>
      <w:r w:rsidR="00017028">
        <w:rPr>
          <w:rFonts w:hint="eastAsia"/>
        </w:rPr>
        <w:t>，</w:t>
      </w:r>
      <w:r>
        <w:rPr>
          <w:rFonts w:hint="eastAsia"/>
        </w:rPr>
        <w:t>* MG</w:t>
      </w:r>
      <w:r>
        <w:rPr>
          <w:rFonts w:hint="eastAsia"/>
        </w:rPr>
        <w:lastRenderedPageBreak/>
        <w:t>双侧乳腺钼靶正、侧位</w:t>
      </w:r>
    </w:p>
    <w:p w14:paraId="320D35FD" w14:textId="6D574FEF" w:rsidR="00365FE0" w:rsidRDefault="00E26E58">
      <w:pPr>
        <w:rPr>
          <w:b/>
          <w:bCs/>
        </w:rPr>
      </w:pPr>
      <w:r>
        <w:rPr>
          <w:rFonts w:hint="eastAsia"/>
          <w:b/>
          <w:bCs/>
        </w:rPr>
        <w:t>标准</w:t>
      </w:r>
      <w:r w:rsidR="00017028">
        <w:rPr>
          <w:rFonts w:hint="eastAsia"/>
          <w:b/>
          <w:bCs/>
        </w:rPr>
        <w:t>检查</w:t>
      </w:r>
      <w:r>
        <w:rPr>
          <w:rFonts w:hint="eastAsia"/>
          <w:b/>
          <w:bCs/>
        </w:rPr>
        <w:t>项目</w:t>
      </w:r>
      <w:r w:rsidR="00017028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编码</w:t>
      </w:r>
      <w:r w:rsidR="00017028">
        <w:rPr>
          <w:rFonts w:hint="eastAsia"/>
          <w:b/>
          <w:bCs/>
        </w:rPr>
        <w:t>格式</w:t>
      </w:r>
    </w:p>
    <w:p w14:paraId="1A152D91" w14:textId="00DFDABC" w:rsidR="00365FE0" w:rsidRDefault="00E26E58" w:rsidP="00FB03B0">
      <w:pPr>
        <w:ind w:firstLineChars="200" w:firstLine="420"/>
        <w:rPr>
          <w:rFonts w:hint="eastAsia"/>
        </w:rPr>
      </w:pPr>
      <w:r>
        <w:rPr>
          <w:rFonts w:hint="eastAsia"/>
        </w:rPr>
        <w:t>编码是可计算、可生成、可检索、可解释的，是机器识别和数据处理基础。</w:t>
      </w:r>
      <w:r>
        <w:rPr>
          <w:rFonts w:hint="eastAsia"/>
        </w:rPr>
        <w:t>在医学影像检查项目编码体系中，</w:t>
      </w:r>
      <w:r>
        <w:rPr>
          <w:rFonts w:hint="eastAsia"/>
        </w:rPr>
        <w:t>整体采用</w:t>
      </w:r>
      <w:r>
        <w:rPr>
          <w:rFonts w:hint="eastAsia"/>
        </w:rPr>
        <w:t>14</w:t>
      </w:r>
      <w:r>
        <w:rPr>
          <w:rFonts w:hint="eastAsia"/>
        </w:rPr>
        <w:t>位码</w:t>
      </w:r>
      <w:r>
        <w:rPr>
          <w:rFonts w:hint="eastAsia"/>
        </w:rPr>
        <w:t>,</w:t>
      </w:r>
      <w:r>
        <w:rPr>
          <w:rFonts w:hint="eastAsia"/>
        </w:rPr>
        <w:t>码位结构包括七部分，</w:t>
      </w:r>
      <w:r>
        <w:rPr>
          <w:rFonts w:hint="eastAsia"/>
        </w:rPr>
        <w:t>分别对应不同的信息元素</w:t>
      </w:r>
      <w:r>
        <w:rPr>
          <w:rFonts w:hint="eastAsia"/>
        </w:rPr>
        <w:t>。</w:t>
      </w:r>
      <w:r>
        <w:rPr>
          <w:rFonts w:hint="eastAsia"/>
        </w:rPr>
        <w:t>每一个</w:t>
      </w:r>
      <w:r>
        <w:rPr>
          <w:rFonts w:hint="eastAsia"/>
        </w:rPr>
        <w:t>检查项目</w:t>
      </w:r>
      <w:r>
        <w:rPr>
          <w:rFonts w:hint="eastAsia"/>
        </w:rPr>
        <w:t>仅有一个代码</w:t>
      </w:r>
      <w:r>
        <w:rPr>
          <w:rFonts w:hint="eastAsia"/>
        </w:rPr>
        <w:t>，</w:t>
      </w:r>
      <w:r>
        <w:rPr>
          <w:rFonts w:hint="eastAsia"/>
        </w:rPr>
        <w:t>一个代码</w:t>
      </w:r>
      <w:r>
        <w:rPr>
          <w:rFonts w:hint="eastAsia"/>
        </w:rPr>
        <w:t>也仅对应</w:t>
      </w:r>
      <w:r>
        <w:rPr>
          <w:rFonts w:hint="eastAsia"/>
        </w:rPr>
        <w:t>一个</w:t>
      </w:r>
      <w:r>
        <w:rPr>
          <w:rFonts w:hint="eastAsia"/>
        </w:rPr>
        <w:t>检查项目</w:t>
      </w:r>
      <w:r>
        <w:rPr>
          <w:rFonts w:hint="eastAsia"/>
        </w:rPr>
        <w:t>。</w:t>
      </w:r>
    </w:p>
    <w:p w14:paraId="3981D47D" w14:textId="112CDB25" w:rsidR="00365FE0" w:rsidRDefault="00365FE0" w:rsidP="00FB03B0">
      <w:pPr>
        <w:jc w:val="center"/>
        <w:rPr>
          <w:b/>
          <w:bCs/>
        </w:rPr>
      </w:pPr>
    </w:p>
    <w:tbl>
      <w:tblPr>
        <w:tblpPr w:leftFromText="180" w:rightFromText="180" w:vertAnchor="text" w:horzAnchor="page" w:tblpXSpec="center" w:tblpY="20"/>
        <w:tblOverlap w:val="never"/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27"/>
        <w:gridCol w:w="1090"/>
        <w:gridCol w:w="924"/>
        <w:gridCol w:w="976"/>
        <w:gridCol w:w="1090"/>
        <w:gridCol w:w="1140"/>
        <w:gridCol w:w="960"/>
      </w:tblGrid>
      <w:tr w:rsidR="00365FE0" w14:paraId="5A7CE757" w14:textId="77777777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</w:tcPr>
          <w:p w14:paraId="44C19DD2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码位</w:t>
            </w:r>
          </w:p>
        </w:tc>
        <w:tc>
          <w:tcPr>
            <w:tcW w:w="1227" w:type="dxa"/>
            <w:shd w:val="clear" w:color="auto" w:fill="auto"/>
            <w:noWrap/>
            <w:vAlign w:val="center"/>
          </w:tcPr>
          <w:p w14:paraId="52D05608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第</w:t>
            </w:r>
            <w:r>
              <w:rPr>
                <w:rFonts w:hint="eastAsia"/>
                <w:sz w:val="16"/>
                <w:szCs w:val="20"/>
              </w:rPr>
              <w:t>1-2</w:t>
            </w:r>
            <w:r>
              <w:rPr>
                <w:rFonts w:hint="eastAsia"/>
                <w:sz w:val="16"/>
                <w:szCs w:val="20"/>
              </w:rPr>
              <w:t>位</w:t>
            </w:r>
          </w:p>
        </w:tc>
        <w:tc>
          <w:tcPr>
            <w:tcW w:w="1090" w:type="dxa"/>
            <w:shd w:val="clear" w:color="auto" w:fill="auto"/>
            <w:noWrap/>
            <w:vAlign w:val="center"/>
          </w:tcPr>
          <w:p w14:paraId="1D815B75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第</w:t>
            </w:r>
            <w:r>
              <w:rPr>
                <w:rFonts w:hint="eastAsia"/>
                <w:sz w:val="16"/>
                <w:szCs w:val="20"/>
              </w:rPr>
              <w:t>3-4</w:t>
            </w:r>
            <w:r>
              <w:rPr>
                <w:rFonts w:hint="eastAsia"/>
                <w:sz w:val="16"/>
                <w:szCs w:val="20"/>
              </w:rPr>
              <w:t>位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069E5639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第</w:t>
            </w:r>
            <w:r>
              <w:rPr>
                <w:rFonts w:hint="eastAsia"/>
                <w:sz w:val="16"/>
                <w:szCs w:val="20"/>
              </w:rPr>
              <w:t>5-6</w:t>
            </w:r>
            <w:r>
              <w:rPr>
                <w:rFonts w:hint="eastAsia"/>
                <w:sz w:val="16"/>
                <w:szCs w:val="20"/>
              </w:rPr>
              <w:t>位</w:t>
            </w:r>
          </w:p>
        </w:tc>
        <w:tc>
          <w:tcPr>
            <w:tcW w:w="976" w:type="dxa"/>
            <w:shd w:val="clear" w:color="auto" w:fill="auto"/>
            <w:noWrap/>
            <w:vAlign w:val="center"/>
          </w:tcPr>
          <w:p w14:paraId="035E7D76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7-8</w:t>
            </w:r>
            <w:r>
              <w:rPr>
                <w:rFonts w:hint="eastAsia"/>
                <w:sz w:val="16"/>
                <w:szCs w:val="20"/>
              </w:rPr>
              <w:t>位</w:t>
            </w:r>
          </w:p>
        </w:tc>
        <w:tc>
          <w:tcPr>
            <w:tcW w:w="1090" w:type="dxa"/>
            <w:shd w:val="clear" w:color="auto" w:fill="auto"/>
            <w:noWrap/>
            <w:vAlign w:val="center"/>
          </w:tcPr>
          <w:p w14:paraId="5AFFC68C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9-10</w:t>
            </w:r>
            <w:r>
              <w:rPr>
                <w:rFonts w:hint="eastAsia"/>
                <w:sz w:val="16"/>
                <w:szCs w:val="20"/>
              </w:rPr>
              <w:t>位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2170C8EB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11-12</w:t>
            </w:r>
            <w:r>
              <w:rPr>
                <w:rFonts w:hint="eastAsia"/>
                <w:sz w:val="16"/>
                <w:szCs w:val="20"/>
              </w:rPr>
              <w:t>位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ED8B3F6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13-14</w:t>
            </w:r>
            <w:r>
              <w:rPr>
                <w:rFonts w:hint="eastAsia"/>
                <w:sz w:val="16"/>
                <w:szCs w:val="20"/>
              </w:rPr>
              <w:t>位</w:t>
            </w:r>
          </w:p>
        </w:tc>
      </w:tr>
      <w:tr w:rsidR="00365FE0" w14:paraId="755B2D8D" w14:textId="77777777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</w:tcPr>
          <w:p w14:paraId="04C3E1EE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元素名称</w:t>
            </w:r>
          </w:p>
        </w:tc>
        <w:tc>
          <w:tcPr>
            <w:tcW w:w="1227" w:type="dxa"/>
            <w:shd w:val="clear" w:color="auto" w:fill="auto"/>
            <w:noWrap/>
            <w:vAlign w:val="center"/>
          </w:tcPr>
          <w:p w14:paraId="69BF1B75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设备类型</w:t>
            </w:r>
          </w:p>
        </w:tc>
        <w:tc>
          <w:tcPr>
            <w:tcW w:w="1090" w:type="dxa"/>
            <w:shd w:val="clear" w:color="auto" w:fill="auto"/>
            <w:noWrap/>
            <w:vAlign w:val="center"/>
          </w:tcPr>
          <w:p w14:paraId="638D59F4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一级部位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0C0C88C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二级部位</w:t>
            </w:r>
          </w:p>
        </w:tc>
        <w:tc>
          <w:tcPr>
            <w:tcW w:w="976" w:type="dxa"/>
            <w:shd w:val="clear" w:color="auto" w:fill="auto"/>
            <w:noWrap/>
            <w:vAlign w:val="center"/>
          </w:tcPr>
          <w:p w14:paraId="3EDA73B5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三级部位</w:t>
            </w:r>
          </w:p>
        </w:tc>
        <w:tc>
          <w:tcPr>
            <w:tcW w:w="1090" w:type="dxa"/>
            <w:shd w:val="clear" w:color="auto" w:fill="auto"/>
            <w:noWrap/>
            <w:vAlign w:val="center"/>
          </w:tcPr>
          <w:p w14:paraId="5D95C038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扫描方式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54FBF989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后处理</w:t>
            </w:r>
            <w:r>
              <w:rPr>
                <w:rFonts w:hint="eastAsia"/>
                <w:sz w:val="16"/>
                <w:szCs w:val="20"/>
              </w:rPr>
              <w:t>/</w:t>
            </w:r>
            <w:r>
              <w:rPr>
                <w:rFonts w:hint="eastAsia"/>
                <w:sz w:val="16"/>
                <w:szCs w:val="20"/>
              </w:rPr>
              <w:t>摆位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1A0EAC3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附加码</w:t>
            </w:r>
          </w:p>
        </w:tc>
      </w:tr>
    </w:tbl>
    <w:p w14:paraId="45EF7DF2" w14:textId="22F174B1" w:rsidR="00365FE0" w:rsidRDefault="00365FE0" w:rsidP="00FB03B0">
      <w:pPr>
        <w:rPr>
          <w:rFonts w:hint="eastAsia"/>
        </w:rPr>
      </w:pPr>
    </w:p>
    <w:tbl>
      <w:tblPr>
        <w:tblW w:w="8310" w:type="dxa"/>
        <w:jc w:val="right"/>
        <w:tblLayout w:type="fixed"/>
        <w:tblLook w:val="04A0" w:firstRow="1" w:lastRow="0" w:firstColumn="1" w:lastColumn="0" w:noHBand="0" w:noVBand="1"/>
      </w:tblPr>
      <w:tblGrid>
        <w:gridCol w:w="1273"/>
        <w:gridCol w:w="1451"/>
        <w:gridCol w:w="993"/>
        <w:gridCol w:w="1134"/>
        <w:gridCol w:w="1275"/>
        <w:gridCol w:w="1214"/>
        <w:gridCol w:w="970"/>
      </w:tblGrid>
      <w:tr w:rsidR="00365FE0" w14:paraId="4B054552" w14:textId="77777777" w:rsidTr="00017028">
        <w:trPr>
          <w:trHeight w:val="300"/>
          <w:jc w:val="right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F9358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例：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4560F" w14:textId="77777777" w:rsidR="00365FE0" w:rsidRDefault="00365FE0" w:rsidP="00FB03B0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6550A" w14:textId="77777777" w:rsidR="00365FE0" w:rsidRDefault="00365FE0" w:rsidP="00FB03B0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94770" w14:textId="77777777" w:rsidR="00365FE0" w:rsidRDefault="00365FE0" w:rsidP="00FB03B0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64F42" w14:textId="77777777" w:rsidR="00365FE0" w:rsidRDefault="00365FE0" w:rsidP="00FB03B0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B59F7" w14:textId="77777777" w:rsidR="00365FE0" w:rsidRDefault="00365FE0" w:rsidP="00FB03B0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71B0A" w14:textId="77777777" w:rsidR="00365FE0" w:rsidRDefault="00365FE0" w:rsidP="00FB03B0">
            <w:pPr>
              <w:jc w:val="center"/>
              <w:rPr>
                <w:sz w:val="16"/>
                <w:szCs w:val="20"/>
              </w:rPr>
            </w:pPr>
          </w:p>
        </w:tc>
      </w:tr>
      <w:tr w:rsidR="00365FE0" w14:paraId="52652C07" w14:textId="77777777" w:rsidTr="00017028">
        <w:trPr>
          <w:trHeight w:val="300"/>
          <w:jc w:val="righ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129D7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检查项目：</w:t>
            </w:r>
          </w:p>
        </w:tc>
        <w:tc>
          <w:tcPr>
            <w:tcW w:w="70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EE8C8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* </w:t>
            </w:r>
            <w:r>
              <w:rPr>
                <w:rFonts w:hint="eastAsia"/>
                <w:sz w:val="16"/>
                <w:szCs w:val="20"/>
              </w:rPr>
              <w:t>CT</w:t>
            </w:r>
            <w:r>
              <w:rPr>
                <w:rFonts w:hint="eastAsia"/>
                <w:sz w:val="16"/>
                <w:szCs w:val="20"/>
              </w:rPr>
              <w:t>副鼻窦</w:t>
            </w:r>
            <w:r>
              <w:rPr>
                <w:rFonts w:hint="eastAsia"/>
                <w:sz w:val="16"/>
                <w:szCs w:val="20"/>
              </w:rPr>
              <w:t>(</w:t>
            </w:r>
            <w:r>
              <w:rPr>
                <w:rFonts w:hint="eastAsia"/>
                <w:sz w:val="16"/>
                <w:szCs w:val="20"/>
              </w:rPr>
              <w:t>平扫</w:t>
            </w:r>
            <w:r>
              <w:rPr>
                <w:rFonts w:hint="eastAsia"/>
                <w:sz w:val="16"/>
                <w:szCs w:val="20"/>
              </w:rPr>
              <w:t>+</w:t>
            </w:r>
            <w:r>
              <w:rPr>
                <w:rFonts w:hint="eastAsia"/>
                <w:sz w:val="16"/>
                <w:szCs w:val="20"/>
              </w:rPr>
              <w:t>三维重建</w:t>
            </w:r>
            <w:r>
              <w:rPr>
                <w:rFonts w:hint="eastAsia"/>
                <w:sz w:val="16"/>
                <w:szCs w:val="20"/>
              </w:rPr>
              <w:t>)</w:t>
            </w:r>
          </w:p>
        </w:tc>
      </w:tr>
      <w:tr w:rsidR="00365FE0" w14:paraId="2B8EB16C" w14:textId="77777777" w:rsidTr="00017028">
        <w:trPr>
          <w:trHeight w:val="300"/>
          <w:jc w:val="righ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6EDA0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项目编码：</w:t>
            </w:r>
          </w:p>
        </w:tc>
        <w:tc>
          <w:tcPr>
            <w:tcW w:w="70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6C7E0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20010701010100</w:t>
            </w:r>
          </w:p>
        </w:tc>
      </w:tr>
      <w:tr w:rsidR="00365FE0" w14:paraId="03FC25BD" w14:textId="77777777" w:rsidTr="00017028">
        <w:trPr>
          <w:trHeight w:val="300"/>
          <w:jc w:val="righ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935EF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20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6C00E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2B5B3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15AFB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C4FE9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01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279E2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01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A9D95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00</w:t>
            </w:r>
          </w:p>
        </w:tc>
      </w:tr>
      <w:tr w:rsidR="00365FE0" w14:paraId="5494E38A" w14:textId="77777777" w:rsidTr="00017028">
        <w:trPr>
          <w:trHeight w:val="300"/>
          <w:jc w:val="righ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07782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CT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5AABD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头部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3FFE1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鼻部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C583F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副鼻窦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225F3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平扫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6DCE9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三维重建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583FA" w14:textId="77777777" w:rsidR="00365FE0" w:rsidRDefault="00E26E58" w:rsidP="00FB03B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附加码</w:t>
            </w:r>
          </w:p>
        </w:tc>
      </w:tr>
    </w:tbl>
    <w:p w14:paraId="0CEE10CE" w14:textId="4A5C6DC3" w:rsidR="00FB03B0" w:rsidRDefault="00FB03B0" w:rsidP="00FB03B0">
      <w:pPr>
        <w:jc w:val="center"/>
      </w:pPr>
      <w:r>
        <w:rPr>
          <w:rFonts w:hint="eastAsia"/>
        </w:rPr>
        <w:t>表三：</w:t>
      </w:r>
      <w:r>
        <w:rPr>
          <w:rFonts w:hint="eastAsia"/>
        </w:rPr>
        <w:t>医学影像检查项目编码码位结构</w:t>
      </w:r>
    </w:p>
    <w:p w14:paraId="6EE9F72D" w14:textId="24075AC9" w:rsidR="00365FE0" w:rsidRDefault="00E26E5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标准操作规范</w:t>
      </w:r>
    </w:p>
    <w:p w14:paraId="20BC7595" w14:textId="73ADB2EB" w:rsidR="00365FE0" w:rsidRDefault="00E26E58">
      <w:pPr>
        <w:ind w:firstLineChars="200" w:firstLine="420"/>
      </w:pPr>
      <w:r>
        <w:rPr>
          <w:rFonts w:hint="eastAsia"/>
        </w:rPr>
        <w:t>标准操作规范是指导医护人员进行规范化操作的指南。通过制定医学影像数据的标准操作规范，可以保证各机构在进行医学影像检查时，能够按照统一的标准进行操作，避免因操作不当而引起的误差或数据失真。</w:t>
      </w:r>
      <w:r>
        <w:rPr>
          <w:rFonts w:hint="eastAsia"/>
        </w:rPr>
        <w:t>目前，该部分内容</w:t>
      </w:r>
      <w:r>
        <w:rPr>
          <w:rFonts w:hint="eastAsia"/>
        </w:rPr>
        <w:t>仍在编写和不断完善中。</w:t>
      </w:r>
    </w:p>
    <w:tbl>
      <w:tblPr>
        <w:tblW w:w="7472" w:type="dxa"/>
        <w:jc w:val="center"/>
        <w:tblLook w:val="04A0" w:firstRow="1" w:lastRow="0" w:firstColumn="1" w:lastColumn="0" w:noHBand="0" w:noVBand="1"/>
      </w:tblPr>
      <w:tblGrid>
        <w:gridCol w:w="2135"/>
        <w:gridCol w:w="5337"/>
      </w:tblGrid>
      <w:tr w:rsidR="00C24D4E" w:rsidRPr="00FB03B0" w14:paraId="72FB7F2E" w14:textId="77777777" w:rsidTr="00FB03B0">
        <w:trPr>
          <w:trHeight w:val="558"/>
          <w:jc w:val="center"/>
        </w:trPr>
        <w:tc>
          <w:tcPr>
            <w:tcW w:w="7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5D9A5" w14:textId="130C2380" w:rsidR="00C24D4E" w:rsidRPr="00FB03B0" w:rsidRDefault="00FB03B0" w:rsidP="00C24D4E">
            <w:pPr>
              <w:rPr>
                <w:rStyle w:val="a6"/>
                <w:rFonts w:ascii="楷体" w:eastAsia="楷体" w:hAnsi="楷体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*</w:t>
            </w:r>
            <w:r w:rsidR="00C24D4E"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CT</w:t>
            </w: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上腹部</w:t>
            </w: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（</w:t>
            </w:r>
            <w:r w:rsidR="00C24D4E"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平扫</w:t>
            </w: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 xml:space="preserve">） </w:t>
            </w:r>
            <w:r w:rsidR="00C24D4E"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检查方法及扫描参数规程</w:t>
            </w:r>
          </w:p>
        </w:tc>
      </w:tr>
      <w:tr w:rsidR="00C24D4E" w:rsidRPr="00FB03B0" w14:paraId="15EF1402" w14:textId="77777777" w:rsidTr="00FB03B0">
        <w:trPr>
          <w:trHeight w:val="424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B0BA9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扫描摆位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274A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患者仰卧，头先进，双上肢上举抱头，身体置于扫描床中间及扫描野中心。</w:t>
            </w:r>
          </w:p>
        </w:tc>
      </w:tr>
      <w:tr w:rsidR="00C24D4E" w:rsidRPr="00FB03B0" w14:paraId="43480954" w14:textId="77777777" w:rsidTr="00FB03B0">
        <w:trPr>
          <w:trHeight w:val="940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4734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体表定位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4B65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先通过移床键将患者腹部送至扫描机架内，激光指示灯内定位线定于胸骨柄与剑突水平，调整水平定位线对准腋中线，定位线的中线与身体正中矢状面重合。</w:t>
            </w:r>
          </w:p>
        </w:tc>
      </w:tr>
      <w:tr w:rsidR="00C24D4E" w:rsidRPr="00FB03B0" w14:paraId="6476BD67" w14:textId="77777777" w:rsidTr="00FB03B0">
        <w:trPr>
          <w:trHeight w:val="249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B8BA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扫描定位基准线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8FE8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胸骨剑突水平</w:t>
            </w:r>
          </w:p>
        </w:tc>
      </w:tr>
      <w:tr w:rsidR="00C24D4E" w:rsidRPr="00FB03B0" w14:paraId="782544D2" w14:textId="77777777" w:rsidTr="00FB03B0">
        <w:trPr>
          <w:trHeight w:val="225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F7A7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扫描方式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9656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螺旋扫描</w:t>
            </w:r>
          </w:p>
        </w:tc>
      </w:tr>
      <w:tr w:rsidR="00C24D4E" w:rsidRPr="00FB03B0" w14:paraId="201F855F" w14:textId="77777777" w:rsidTr="00FB03B0">
        <w:trPr>
          <w:trHeight w:val="277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E157D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扫描范围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3726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胸骨剑突至脐水平</w:t>
            </w:r>
          </w:p>
        </w:tc>
      </w:tr>
      <w:tr w:rsidR="00C24D4E" w:rsidRPr="00FB03B0" w14:paraId="15E97161" w14:textId="77777777" w:rsidTr="00FB03B0">
        <w:trPr>
          <w:trHeight w:val="357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5BCF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扫描协议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0D49" w14:textId="47B351A3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Abdomen</w:t>
            </w:r>
            <w:r w:rsidRPr="00FB03B0">
              <w:rPr>
                <w:rStyle w:val="a6"/>
                <w:rFonts w:ascii="Calibri" w:eastAsia="楷体" w:hAnsi="Calibri" w:cs="Calibri"/>
                <w:i w:val="0"/>
                <w:iCs w:val="0"/>
                <w:sz w:val="18"/>
                <w:szCs w:val="18"/>
              </w:rPr>
              <w:t> </w:t>
            </w: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5MM-H</w:t>
            </w:r>
          </w:p>
        </w:tc>
      </w:tr>
      <w:tr w:rsidR="00C24D4E" w:rsidRPr="00FB03B0" w14:paraId="2FA57BBC" w14:textId="77777777" w:rsidTr="00FB03B0">
        <w:trPr>
          <w:trHeight w:val="281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5122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扫描野（FOV）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85659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320mm-360mm</w:t>
            </w:r>
          </w:p>
        </w:tc>
      </w:tr>
      <w:tr w:rsidR="00C24D4E" w:rsidRPr="00FB03B0" w14:paraId="35B37750" w14:textId="77777777" w:rsidTr="00FB03B0">
        <w:trPr>
          <w:trHeight w:val="381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A83F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默认重建横断位层厚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67A1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5mm或7.5mm</w:t>
            </w:r>
          </w:p>
        </w:tc>
      </w:tr>
      <w:tr w:rsidR="00C24D4E" w:rsidRPr="00FB03B0" w14:paraId="159F06E8" w14:textId="77777777" w:rsidTr="00FB03B0">
        <w:trPr>
          <w:trHeight w:val="273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FA26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螺距（Pitch）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6597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0.984:1或1.375：1（对于屏气困难患者）</w:t>
            </w:r>
          </w:p>
        </w:tc>
      </w:tr>
      <w:tr w:rsidR="00C24D4E" w:rsidRPr="00FB03B0" w14:paraId="24C45285" w14:textId="77777777" w:rsidTr="00FB03B0">
        <w:trPr>
          <w:trHeight w:val="377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BCD7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扫描曝光参数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2D50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120Kv</w:t>
            </w:r>
            <w:r w:rsidRPr="00FB03B0">
              <w:rPr>
                <w:rStyle w:val="a6"/>
                <w:rFonts w:ascii="Calibri" w:eastAsia="楷体" w:hAnsi="Calibri" w:cs="Calibri"/>
                <w:i w:val="0"/>
                <w:iCs w:val="0"/>
                <w:sz w:val="18"/>
                <w:szCs w:val="18"/>
              </w:rPr>
              <w:t> </w:t>
            </w: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,120-150mAs，球管转速螺旋推荐0.5s。</w:t>
            </w:r>
          </w:p>
        </w:tc>
      </w:tr>
      <w:tr w:rsidR="00C24D4E" w:rsidRPr="00FB03B0" w14:paraId="168C60CB" w14:textId="77777777" w:rsidTr="00FB03B0">
        <w:trPr>
          <w:trHeight w:val="425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86D8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重建窗宽窗位选择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7CDBB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软组织窗（W250-350</w:t>
            </w:r>
            <w:r w:rsidRPr="00FB03B0">
              <w:rPr>
                <w:rStyle w:val="a6"/>
                <w:rFonts w:ascii="Calibri" w:eastAsia="楷体" w:hAnsi="Calibri" w:cs="Calibri"/>
                <w:i w:val="0"/>
                <w:iCs w:val="0"/>
                <w:sz w:val="18"/>
                <w:szCs w:val="18"/>
              </w:rPr>
              <w:t> </w:t>
            </w: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C35-60）</w:t>
            </w:r>
          </w:p>
        </w:tc>
      </w:tr>
      <w:tr w:rsidR="00C24D4E" w:rsidRPr="00FB03B0" w14:paraId="405D2D2A" w14:textId="77777777" w:rsidTr="00FB03B0">
        <w:trPr>
          <w:trHeight w:val="702"/>
          <w:jc w:val="center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A07C4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重建层厚及间距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B0A2" w14:textId="77777777" w:rsidR="00C24D4E" w:rsidRPr="00FB03B0" w:rsidRDefault="00C24D4E" w:rsidP="00C24D4E">
            <w:pPr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</w:pPr>
            <w:r w:rsidRPr="00FB03B0">
              <w:rPr>
                <w:rStyle w:val="a6"/>
                <w:rFonts w:ascii="楷体" w:eastAsia="楷体" w:hAnsi="楷体" w:hint="eastAsia"/>
                <w:i w:val="0"/>
                <w:iCs w:val="0"/>
                <w:sz w:val="18"/>
                <w:szCs w:val="18"/>
              </w:rPr>
              <w:t>0.625mm-1.25mm及等值间距（0.6mm、0.75mm等合适薄层均可）</w:t>
            </w:r>
          </w:p>
        </w:tc>
      </w:tr>
    </w:tbl>
    <w:p w14:paraId="69B5E1DF" w14:textId="194CC11C" w:rsidR="00C24D4E" w:rsidRDefault="00FB03B0" w:rsidP="00FB03B0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表三：标准检查项目的操作规范</w:t>
      </w:r>
    </w:p>
    <w:p w14:paraId="78F78EE5" w14:textId="77777777" w:rsidR="00365FE0" w:rsidRDefault="00E26E58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标准适用规范</w:t>
      </w:r>
    </w:p>
    <w:p w14:paraId="4C31E91E" w14:textId="5B14B533" w:rsidR="00365FE0" w:rsidRDefault="00E26E58">
      <w:pPr>
        <w:ind w:firstLineChars="200" w:firstLine="420"/>
      </w:pPr>
      <w:r>
        <w:rPr>
          <w:rFonts w:hint="eastAsia"/>
        </w:rPr>
        <w:t>标准适用规范在诊疗流程中具有重要作用</w:t>
      </w:r>
      <w:r w:rsidR="00DE687F">
        <w:rPr>
          <w:rFonts w:hint="eastAsia"/>
        </w:rPr>
        <w:t>，</w:t>
      </w:r>
      <w:r>
        <w:rPr>
          <w:rFonts w:hint="eastAsia"/>
        </w:rPr>
        <w:t>通过标准检查项目</w:t>
      </w:r>
      <w:r w:rsidR="00DE687F">
        <w:rPr>
          <w:rFonts w:hint="eastAsia"/>
        </w:rPr>
        <w:t>适用的疾病以及</w:t>
      </w:r>
      <w:r>
        <w:rPr>
          <w:rFonts w:hint="eastAsia"/>
        </w:rPr>
        <w:t>覆盖的脏器、组织、解剖结构，可以用于</w:t>
      </w:r>
      <w:r w:rsidR="00DE687F">
        <w:rPr>
          <w:rFonts w:hint="eastAsia"/>
        </w:rPr>
        <w:t>影像知识图谱、诊断报告结构化等建设，是</w:t>
      </w:r>
      <w:r w:rsidR="00DE687F">
        <w:rPr>
          <w:rFonts w:hint="eastAsia"/>
        </w:rPr>
        <w:t>CDSS</w:t>
      </w:r>
      <w:r w:rsidR="00DE687F">
        <w:rPr>
          <w:rFonts w:hint="eastAsia"/>
        </w:rPr>
        <w:t>、智能诊断、报告质控等</w:t>
      </w:r>
      <w:r>
        <w:rPr>
          <w:rFonts w:hint="eastAsia"/>
        </w:rPr>
        <w:t>AI</w:t>
      </w:r>
      <w:r w:rsidR="00DE687F">
        <w:rPr>
          <w:rFonts w:hint="eastAsia"/>
        </w:rPr>
        <w:t>应用的基础数据</w:t>
      </w:r>
      <w:r>
        <w:rPr>
          <w:rFonts w:hint="eastAsia"/>
        </w:rPr>
        <w:t>。</w:t>
      </w:r>
    </w:p>
    <w:p w14:paraId="447856AB" w14:textId="57A1C299" w:rsidR="00FA608D" w:rsidRDefault="00FA608D">
      <w:pPr>
        <w:ind w:firstLineChars="200" w:firstLine="420"/>
      </w:pPr>
    </w:p>
    <w:p w14:paraId="7359CECD" w14:textId="2E6DE9EE" w:rsidR="00FA608D" w:rsidRDefault="00FA608D" w:rsidP="00FA608D">
      <w:pPr>
        <w:pStyle w:val="3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标准</w:t>
      </w:r>
      <w:r w:rsidR="00651360">
        <w:rPr>
          <w:rFonts w:hint="eastAsia"/>
        </w:rPr>
        <w:t>管理系统</w:t>
      </w:r>
    </w:p>
    <w:p w14:paraId="5737DBC8" w14:textId="5910AD0C" w:rsidR="00BB0419" w:rsidRDefault="00FA608D" w:rsidP="00FA608D">
      <w:pPr>
        <w:ind w:firstLineChars="200" w:firstLine="420"/>
      </w:pPr>
      <w:r>
        <w:rPr>
          <w:rFonts w:hint="eastAsia"/>
        </w:rPr>
        <w:t>一脉集团《标准》的制定是为了能对集团的各项业务产生实际的作用和价值，因此</w:t>
      </w:r>
      <w:r w:rsidR="00BB0419">
        <w:rPr>
          <w:rFonts w:hint="eastAsia"/>
        </w:rPr>
        <w:t>《标</w:t>
      </w:r>
      <w:r w:rsidR="00BB0419">
        <w:t>准</w:t>
      </w:r>
      <w:r w:rsidR="00BB0419">
        <w:rPr>
          <w:rFonts w:hint="eastAsia"/>
        </w:rPr>
        <w:t>版本</w:t>
      </w:r>
      <w:r w:rsidR="00BB0419">
        <w:t>管理系统</w:t>
      </w:r>
      <w:r w:rsidR="00BB0419">
        <w:rPr>
          <w:rFonts w:hint="eastAsia"/>
        </w:rPr>
        <w:t>》《标准化</w:t>
      </w:r>
      <w:r w:rsidR="00BB0419">
        <w:t>AI</w:t>
      </w:r>
      <w:r w:rsidR="00BB0419">
        <w:t>引擎</w:t>
      </w:r>
      <w:r w:rsidR="00BB0419">
        <w:rPr>
          <w:rFonts w:hint="eastAsia"/>
        </w:rPr>
        <w:t>》</w:t>
      </w:r>
      <w:r w:rsidR="00BB0419">
        <w:rPr>
          <w:rFonts w:hint="eastAsia"/>
        </w:rPr>
        <w:t>的搭建是保障《标准》</w:t>
      </w:r>
      <w:r>
        <w:rPr>
          <w:rFonts w:hint="eastAsia"/>
        </w:rPr>
        <w:t>落地实施</w:t>
      </w:r>
      <w:r w:rsidR="00BB0419">
        <w:rPr>
          <w:rFonts w:hint="eastAsia"/>
        </w:rPr>
        <w:t>一个重要工具</w:t>
      </w:r>
      <w:r>
        <w:rPr>
          <w:rFonts w:hint="eastAsia"/>
        </w:rPr>
        <w:t>。</w:t>
      </w:r>
    </w:p>
    <w:p w14:paraId="1FE99CAF" w14:textId="308AC86D" w:rsidR="00FA608D" w:rsidRDefault="00FA608D" w:rsidP="00FA608D">
      <w:pPr>
        <w:ind w:firstLineChars="200" w:firstLine="420"/>
      </w:pPr>
      <w:r>
        <w:rPr>
          <w:rFonts w:hint="eastAsia"/>
        </w:rPr>
        <w:t>《</w:t>
      </w:r>
      <w:r>
        <w:rPr>
          <w:rFonts w:hint="eastAsia"/>
        </w:rPr>
        <w:t>标</w:t>
      </w:r>
      <w:r>
        <w:t>准</w:t>
      </w:r>
      <w:r>
        <w:rPr>
          <w:rFonts w:hint="eastAsia"/>
        </w:rPr>
        <w:t>版本</w:t>
      </w:r>
      <w:r>
        <w:t>管理系统</w:t>
      </w:r>
      <w:r>
        <w:rPr>
          <w:rFonts w:hint="eastAsia"/>
        </w:rPr>
        <w:t>》是对</w:t>
      </w:r>
      <w:r>
        <w:rPr>
          <w:rFonts w:hint="eastAsia"/>
        </w:rPr>
        <w:t>标准体系</w:t>
      </w:r>
      <w:r>
        <w:rPr>
          <w:rFonts w:hint="eastAsia"/>
        </w:rPr>
        <w:t>各</w:t>
      </w:r>
      <w:r>
        <w:t>版本更新维护</w:t>
      </w:r>
      <w:r>
        <w:rPr>
          <w:rFonts w:hint="eastAsia"/>
        </w:rPr>
        <w:t>进行管理，实现对不同版本的</w:t>
      </w:r>
      <w:r>
        <w:t>查询检索、规则管理、标准使用</w:t>
      </w:r>
      <w:r>
        <w:rPr>
          <w:rFonts w:hint="eastAsia"/>
        </w:rPr>
        <w:t>、</w:t>
      </w:r>
      <w:r>
        <w:t>数据统计</w:t>
      </w:r>
      <w:r>
        <w:rPr>
          <w:rFonts w:hint="eastAsia"/>
        </w:rPr>
        <w:t>等功能；</w:t>
      </w:r>
    </w:p>
    <w:p w14:paraId="2C8DF72B" w14:textId="4CA70E7C" w:rsidR="00FA608D" w:rsidRDefault="00A35D85" w:rsidP="00FA608D">
      <w:pPr>
        <w:ind w:firstLineChars="200" w:firstLine="420"/>
        <w:rPr>
          <w:rFonts w:hint="eastAsia"/>
        </w:rPr>
      </w:pPr>
      <w:r>
        <w:rPr>
          <w:rFonts w:hint="eastAsia"/>
        </w:rPr>
        <w:t>在《标准》未能在院内落地实施前，对采集数据上来的进行标准化</w:t>
      </w:r>
      <w:r w:rsidR="00BB0419">
        <w:rPr>
          <w:rFonts w:hint="eastAsia"/>
        </w:rPr>
        <w:t>处理</w:t>
      </w:r>
      <w:r>
        <w:rPr>
          <w:rFonts w:hint="eastAsia"/>
        </w:rPr>
        <w:t>，是能将现有数据转化为有效数据的一个</w:t>
      </w:r>
      <w:r w:rsidR="00BB0419">
        <w:rPr>
          <w:rFonts w:hint="eastAsia"/>
        </w:rPr>
        <w:t>不开或缺过程</w:t>
      </w:r>
      <w:r>
        <w:rPr>
          <w:rFonts w:hint="eastAsia"/>
        </w:rPr>
        <w:t>，《标准化</w:t>
      </w:r>
      <w:r w:rsidR="00FA608D">
        <w:t>AI</w:t>
      </w:r>
      <w:r w:rsidR="00FA608D">
        <w:t>引擎</w:t>
      </w:r>
      <w:r>
        <w:rPr>
          <w:rFonts w:hint="eastAsia"/>
        </w:rPr>
        <w:t>》</w:t>
      </w:r>
      <w:r w:rsidR="00BB0419">
        <w:rPr>
          <w:rFonts w:hint="eastAsia"/>
        </w:rPr>
        <w:t>的建设</w:t>
      </w:r>
      <w:r>
        <w:rPr>
          <w:rFonts w:hint="eastAsia"/>
        </w:rPr>
        <w:t>是完成这个工作的</w:t>
      </w:r>
      <w:r>
        <w:rPr>
          <w:rFonts w:hint="eastAsia"/>
        </w:rPr>
        <w:t>AI</w:t>
      </w:r>
      <w:r>
        <w:rPr>
          <w:rFonts w:hint="eastAsia"/>
        </w:rPr>
        <w:t>工具，技术上通过</w:t>
      </w:r>
      <w:r w:rsidR="00FA608D">
        <w:t>专业语料库</w:t>
      </w:r>
      <w:r>
        <w:rPr>
          <w:rFonts w:hint="eastAsia"/>
        </w:rPr>
        <w:t>、</w:t>
      </w:r>
      <w:r w:rsidR="00FA608D">
        <w:t>知识</w:t>
      </w:r>
      <w:r>
        <w:rPr>
          <w:rFonts w:hint="eastAsia"/>
        </w:rPr>
        <w:t>图谱的建设，采用</w:t>
      </w:r>
      <w:r w:rsidR="00FA608D">
        <w:t>NLP</w:t>
      </w:r>
      <w:r>
        <w:rPr>
          <w:rFonts w:hint="eastAsia"/>
        </w:rPr>
        <w:t>算法和大语言模型训练，形成对影像数据的标准化处理</w:t>
      </w:r>
      <w:r w:rsidR="00BB0419">
        <w:rPr>
          <w:rFonts w:hint="eastAsia"/>
        </w:rPr>
        <w:t>。</w:t>
      </w:r>
    </w:p>
    <w:p w14:paraId="5D4FEEC8" w14:textId="7AE10273" w:rsidR="00FA608D" w:rsidRDefault="00BB0419" w:rsidP="00FA608D">
      <w:pPr>
        <w:ind w:firstLineChars="200" w:firstLine="420"/>
      </w:pPr>
      <w:r>
        <w:rPr>
          <w:rFonts w:hint="eastAsia"/>
        </w:rPr>
        <w:t>每天</w:t>
      </w:r>
      <w:r w:rsidR="00FA608D">
        <w:t>集团各机构产生大量的数据，借助</w:t>
      </w:r>
      <w:r>
        <w:rPr>
          <w:rFonts w:hint="eastAsia"/>
        </w:rPr>
        <w:t>《标准化</w:t>
      </w:r>
      <w:r>
        <w:t>AI</w:t>
      </w:r>
      <w:r>
        <w:t>引擎</w:t>
      </w:r>
      <w:r>
        <w:rPr>
          <w:rFonts w:hint="eastAsia"/>
        </w:rPr>
        <w:t>》</w:t>
      </w:r>
      <w:r w:rsidR="00FA608D">
        <w:t>将其与标准数据</w:t>
      </w:r>
      <w:r>
        <w:rPr>
          <w:rFonts w:hint="eastAsia"/>
        </w:rPr>
        <w:t>转化为可计算</w:t>
      </w:r>
      <w:r w:rsidR="008B4686">
        <w:rPr>
          <w:rFonts w:hint="eastAsia"/>
        </w:rPr>
        <w:t>、</w:t>
      </w:r>
      <w:r>
        <w:rPr>
          <w:rFonts w:hint="eastAsia"/>
        </w:rPr>
        <w:t>可统计</w:t>
      </w:r>
      <w:r w:rsidR="008B4686">
        <w:rPr>
          <w:rFonts w:hint="eastAsia"/>
        </w:rPr>
        <w:t>、可</w:t>
      </w:r>
      <w:r>
        <w:rPr>
          <w:rFonts w:hint="eastAsia"/>
        </w:rPr>
        <w:t>分析</w:t>
      </w:r>
      <w:r w:rsidR="008B4686">
        <w:rPr>
          <w:rFonts w:hint="eastAsia"/>
        </w:rPr>
        <w:t>、</w:t>
      </w:r>
      <w:r>
        <w:rPr>
          <w:rFonts w:hint="eastAsia"/>
        </w:rPr>
        <w:t>有效</w:t>
      </w:r>
      <w:r>
        <w:rPr>
          <w:rFonts w:hint="eastAsia"/>
        </w:rPr>
        <w:t>数据</w:t>
      </w:r>
      <w:r w:rsidR="00FA608D">
        <w:t>，确保各机构间</w:t>
      </w:r>
      <w:r w:rsidR="00AA4B23">
        <w:rPr>
          <w:rFonts w:hint="eastAsia"/>
        </w:rPr>
        <w:t>数据交互</w:t>
      </w:r>
      <w:r w:rsidR="008B4686">
        <w:rPr>
          <w:rFonts w:hint="eastAsia"/>
        </w:rPr>
        <w:t>能有效运转，确保集团能有效掌握各机构的</w:t>
      </w:r>
      <w:r w:rsidR="00AA4B23">
        <w:rPr>
          <w:rFonts w:hint="eastAsia"/>
        </w:rPr>
        <w:t>实际</w:t>
      </w:r>
      <w:r w:rsidR="008B4686">
        <w:rPr>
          <w:rFonts w:hint="eastAsia"/>
        </w:rPr>
        <w:t>运行状况</w:t>
      </w:r>
      <w:r w:rsidR="00FA608D">
        <w:t>。</w:t>
      </w:r>
    </w:p>
    <w:p w14:paraId="31C8FC8A" w14:textId="77777777" w:rsidR="00365FE0" w:rsidRPr="00FA608D" w:rsidRDefault="00365FE0">
      <w:pPr>
        <w:ind w:firstLineChars="200" w:firstLine="420"/>
      </w:pPr>
    </w:p>
    <w:p w14:paraId="6C94B104" w14:textId="65BFA20D" w:rsidR="00365FE0" w:rsidRDefault="00365FE0">
      <w:pPr>
        <w:ind w:firstLineChars="200" w:firstLine="420"/>
        <w:jc w:val="center"/>
      </w:pPr>
    </w:p>
    <w:p w14:paraId="1F57D50D" w14:textId="78EBB543" w:rsidR="00365FE0" w:rsidRDefault="00E26E58">
      <w:pPr>
        <w:pStyle w:val="2"/>
      </w:pPr>
      <w:r>
        <w:rPr>
          <w:rFonts w:hint="eastAsia"/>
        </w:rPr>
        <w:t>四、标准化的应用</w:t>
      </w:r>
    </w:p>
    <w:p w14:paraId="0595CADF" w14:textId="0614BC9D" w:rsidR="00DE687F" w:rsidRPr="00DE687F" w:rsidRDefault="00DE687F" w:rsidP="00E26E58">
      <w:pPr>
        <w:ind w:firstLine="420"/>
        <w:rPr>
          <w:rFonts w:hint="eastAsia"/>
        </w:rPr>
      </w:pPr>
      <w:r>
        <w:rPr>
          <w:rFonts w:hint="eastAsia"/>
        </w:rPr>
        <w:t>影像检查名称的标准化数据是智能导检系统、</w:t>
      </w:r>
      <w:r>
        <w:rPr>
          <w:rFonts w:hint="eastAsia"/>
        </w:rPr>
        <w:t>影像数据分类管理</w:t>
      </w:r>
      <w:r>
        <w:rPr>
          <w:rFonts w:hint="eastAsia"/>
        </w:rPr>
        <w:t>、医疗</w:t>
      </w:r>
      <w:r>
        <w:rPr>
          <w:rFonts w:hint="eastAsia"/>
        </w:rPr>
        <w:t>数据检索</w:t>
      </w:r>
      <w:r>
        <w:rPr>
          <w:rFonts w:hint="eastAsia"/>
        </w:rPr>
        <w:t>、</w:t>
      </w:r>
      <w:r>
        <w:rPr>
          <w:rFonts w:hint="eastAsia"/>
        </w:rPr>
        <w:t>学科精细化管理、</w:t>
      </w:r>
      <w:r>
        <w:rPr>
          <w:rFonts w:hint="eastAsia"/>
        </w:rPr>
        <w:t>医疗</w:t>
      </w:r>
      <w:r>
        <w:rPr>
          <w:rFonts w:hint="eastAsia"/>
        </w:rPr>
        <w:t>能力评价和</w:t>
      </w:r>
      <w:r w:rsidR="005C07A0">
        <w:rPr>
          <w:rFonts w:hint="eastAsia"/>
        </w:rPr>
        <w:t>机构的</w:t>
      </w:r>
      <w:r>
        <w:rPr>
          <w:rFonts w:hint="eastAsia"/>
        </w:rPr>
        <w:t>运营统计等</w:t>
      </w:r>
      <w:r w:rsidR="005C07A0">
        <w:rPr>
          <w:rFonts w:hint="eastAsia"/>
        </w:rPr>
        <w:t>应用的数据基础。</w:t>
      </w:r>
    </w:p>
    <w:p w14:paraId="0F334A73" w14:textId="7D0AFC51" w:rsidR="00FB03B0" w:rsidRDefault="00E26E58">
      <w:pPr>
        <w:pStyle w:val="3"/>
      </w:pPr>
      <w:r>
        <w:rPr>
          <w:rFonts w:hint="eastAsia"/>
        </w:rPr>
        <w:t>1</w:t>
      </w:r>
      <w:r w:rsidR="00FB03B0">
        <w:rPr>
          <w:rFonts w:hint="eastAsia"/>
        </w:rPr>
        <w:t>、智能导检系统</w:t>
      </w:r>
    </w:p>
    <w:p w14:paraId="297EB88C" w14:textId="27E435AB" w:rsidR="00A56558" w:rsidRPr="00A56558" w:rsidRDefault="00A56558" w:rsidP="00A56558">
      <w:pPr>
        <w:rPr>
          <w:rFonts w:hint="eastAsia"/>
        </w:rPr>
      </w:pPr>
      <w:r>
        <w:rPr>
          <w:rFonts w:hint="eastAsia"/>
        </w:rPr>
        <w:t>通过标准检查项目对应的</w:t>
      </w:r>
      <w:r>
        <w:rPr>
          <w:rFonts w:hint="eastAsia"/>
        </w:rPr>
        <w:t>症状、</w:t>
      </w:r>
      <w:r>
        <w:rPr>
          <w:rFonts w:hint="eastAsia"/>
        </w:rPr>
        <w:t>疾病，可以用于临床医生</w:t>
      </w:r>
      <w:r w:rsidR="00DE687F">
        <w:rPr>
          <w:rFonts w:hint="eastAsia"/>
        </w:rPr>
        <w:t>影像检查</w:t>
      </w:r>
      <w:r w:rsidR="0023039A">
        <w:rPr>
          <w:rFonts w:hint="eastAsia"/>
        </w:rPr>
        <w:t>辅助</w:t>
      </w:r>
      <w:r w:rsidR="00DE687F">
        <w:rPr>
          <w:rFonts w:hint="eastAsia"/>
        </w:rPr>
        <w:t>决策</w:t>
      </w:r>
      <w:r>
        <w:rPr>
          <w:rFonts w:hint="eastAsia"/>
        </w:rPr>
        <w:t>。</w:t>
      </w:r>
    </w:p>
    <w:p w14:paraId="7D8DD7DB" w14:textId="5004B1C7" w:rsidR="00FB03B0" w:rsidRDefault="00FB03B0">
      <w:pPr>
        <w:pStyle w:val="3"/>
      </w:pPr>
      <w:r>
        <w:rPr>
          <w:noProof/>
        </w:rPr>
        <w:lastRenderedPageBreak/>
        <w:drawing>
          <wp:inline distT="0" distB="0" distL="114300" distR="114300" wp14:anchorId="0D7901AD" wp14:editId="19F3F9C6">
            <wp:extent cx="4282513" cy="2698184"/>
            <wp:effectExtent l="165100" t="177800" r="162560" b="1720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757" cy="27027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8A45CF5" w14:textId="2B63BC8D" w:rsidR="00FB03B0" w:rsidRDefault="00FB03B0" w:rsidP="00FB03B0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AI</w:t>
      </w:r>
      <w:r>
        <w:rPr>
          <w:rFonts w:hint="eastAsia"/>
        </w:rPr>
        <w:t>临床辅助决策示例</w:t>
      </w:r>
    </w:p>
    <w:p w14:paraId="5F24FA54" w14:textId="77777777" w:rsidR="00FB03B0" w:rsidRPr="00FB03B0" w:rsidRDefault="00FB03B0" w:rsidP="00FB03B0">
      <w:pPr>
        <w:rPr>
          <w:rFonts w:hint="eastAsia"/>
        </w:rPr>
      </w:pPr>
    </w:p>
    <w:p w14:paraId="07950B19" w14:textId="7B303A8E" w:rsidR="00365FE0" w:rsidRDefault="00FB03B0">
      <w:pPr>
        <w:pStyle w:val="3"/>
      </w:pPr>
      <w:r>
        <w:t>2</w:t>
      </w:r>
      <w:r>
        <w:rPr>
          <w:rFonts w:hint="eastAsia"/>
        </w:rPr>
        <w:t>、</w:t>
      </w:r>
      <w:r w:rsidR="00E26E58">
        <w:rPr>
          <w:rFonts w:hint="eastAsia"/>
        </w:rPr>
        <w:t>数据中台和数据分析评价系统</w:t>
      </w:r>
    </w:p>
    <w:p w14:paraId="7BD77A79" w14:textId="77777777" w:rsidR="00365FE0" w:rsidRDefault="00E26E58">
      <w:pPr>
        <w:ind w:firstLineChars="200" w:firstLine="420"/>
      </w:pPr>
      <w:r>
        <w:rPr>
          <w:rFonts w:hint="eastAsia"/>
        </w:rPr>
        <w:t>一脉集团</w:t>
      </w:r>
      <w:r>
        <w:rPr>
          <w:rFonts w:hint="eastAsia"/>
        </w:rPr>
        <w:t>在数据</w:t>
      </w:r>
      <w:r>
        <w:rPr>
          <w:rFonts w:hint="eastAsia"/>
        </w:rPr>
        <w:t>标准</w:t>
      </w:r>
      <w:r>
        <w:rPr>
          <w:rFonts w:hint="eastAsia"/>
        </w:rPr>
        <w:t>化基础上</w:t>
      </w:r>
      <w:r>
        <w:rPr>
          <w:rFonts w:hint="eastAsia"/>
        </w:rPr>
        <w:t>，建立了集团数据中台和数据分析评价系统。</w:t>
      </w:r>
      <w:r>
        <w:rPr>
          <w:rFonts w:hint="eastAsia"/>
        </w:rPr>
        <w:t>数据中台将各个医疗机构的数据进行集中管理和整合，为数据分析评价系统提供了基础数据支</w:t>
      </w:r>
      <w:r>
        <w:rPr>
          <w:rFonts w:hint="eastAsia"/>
        </w:rPr>
        <w:t>持。通过数据分析评价系统，可以对医学影像数据进行深入挖掘和分析，为医疗诊断和治疗提供更精确的辅助支持。</w:t>
      </w:r>
    </w:p>
    <w:p w14:paraId="683F8236" w14:textId="77777777" w:rsidR="00365FE0" w:rsidRDefault="00E26E58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26A2AA81" wp14:editId="1D5399B0">
            <wp:extent cx="2687955" cy="1779905"/>
            <wp:effectExtent l="177800" t="165100" r="182245" b="1631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779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6742CB1" w14:textId="68E3DD8C" w:rsidR="005C07A0" w:rsidRDefault="005C07A0" w:rsidP="005C07A0">
      <w:pPr>
        <w:ind w:firstLineChars="200" w:firstLine="420"/>
        <w:jc w:val="center"/>
      </w:pPr>
      <w:r>
        <w:rPr>
          <w:rFonts w:hint="eastAsia"/>
        </w:rPr>
        <w:t>图二：影像</w:t>
      </w:r>
      <w:r>
        <w:rPr>
          <w:rFonts w:hint="eastAsia"/>
        </w:rPr>
        <w:t>科室专业能力评分</w:t>
      </w:r>
      <w:r>
        <w:rPr>
          <w:rFonts w:hint="eastAsia"/>
        </w:rPr>
        <w:t>及排名</w:t>
      </w:r>
    </w:p>
    <w:p w14:paraId="67735364" w14:textId="77777777" w:rsidR="00365FE0" w:rsidRDefault="00365FE0">
      <w:pPr>
        <w:ind w:firstLineChars="200" w:firstLine="420"/>
        <w:jc w:val="center"/>
      </w:pPr>
    </w:p>
    <w:p w14:paraId="4E53143F" w14:textId="77777777" w:rsidR="00365FE0" w:rsidRDefault="00365FE0">
      <w:pPr>
        <w:ind w:firstLineChars="200" w:firstLine="420"/>
        <w:jc w:val="center"/>
      </w:pPr>
    </w:p>
    <w:p w14:paraId="643C8475" w14:textId="77777777" w:rsidR="00365FE0" w:rsidRDefault="00365FE0">
      <w:pPr>
        <w:ind w:firstLineChars="200" w:firstLine="420"/>
        <w:jc w:val="center"/>
      </w:pPr>
    </w:p>
    <w:p w14:paraId="59D743E4" w14:textId="77777777" w:rsidR="00365FE0" w:rsidRDefault="00E26E58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114300" distR="114300" wp14:anchorId="7D707762" wp14:editId="2A376200">
            <wp:extent cx="2725420" cy="1729105"/>
            <wp:effectExtent l="177800" t="152400" r="182880" b="150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729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DE3C8B" w14:textId="702285FA" w:rsidR="005C07A0" w:rsidRDefault="005C07A0" w:rsidP="005C07A0">
      <w:pPr>
        <w:ind w:firstLineChars="200" w:firstLine="420"/>
        <w:jc w:val="center"/>
      </w:pPr>
      <w:r>
        <w:rPr>
          <w:rFonts w:hint="eastAsia"/>
        </w:rPr>
        <w:t>图三：影像</w:t>
      </w:r>
      <w:r>
        <w:rPr>
          <w:rFonts w:hint="eastAsia"/>
        </w:rPr>
        <w:t>科室标准</w:t>
      </w:r>
      <w:r>
        <w:rPr>
          <w:rFonts w:hint="eastAsia"/>
        </w:rPr>
        <w:t>项目应用</w:t>
      </w:r>
      <w:r>
        <w:rPr>
          <w:rFonts w:hint="eastAsia"/>
        </w:rPr>
        <w:t>覆盖率分析</w:t>
      </w:r>
    </w:p>
    <w:p w14:paraId="32546975" w14:textId="77777777" w:rsidR="00365FE0" w:rsidRPr="005C07A0" w:rsidRDefault="00365FE0">
      <w:pPr>
        <w:ind w:firstLineChars="200" w:firstLine="420"/>
        <w:jc w:val="center"/>
      </w:pPr>
    </w:p>
    <w:p w14:paraId="6B5E7475" w14:textId="77777777" w:rsidR="00365FE0" w:rsidRDefault="00365FE0">
      <w:pPr>
        <w:ind w:firstLineChars="200" w:firstLine="422"/>
        <w:jc w:val="center"/>
        <w:rPr>
          <w:b/>
          <w:bCs/>
        </w:rPr>
      </w:pPr>
    </w:p>
    <w:p w14:paraId="12508CAC" w14:textId="77777777" w:rsidR="00365FE0" w:rsidRDefault="00E26E58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5B90F2DC" wp14:editId="1D6B9B75">
            <wp:extent cx="2619375" cy="1389380"/>
            <wp:effectExtent l="177800" t="152400" r="161925" b="147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89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49EB10B" w14:textId="5E6A626E" w:rsidR="005C07A0" w:rsidRDefault="005C07A0" w:rsidP="005C07A0">
      <w:pPr>
        <w:ind w:firstLineChars="200" w:firstLine="420"/>
        <w:jc w:val="center"/>
      </w:pPr>
      <w:r>
        <w:rPr>
          <w:rFonts w:hint="eastAsia"/>
        </w:rPr>
        <w:t>图四：影像</w:t>
      </w:r>
      <w:r>
        <w:rPr>
          <w:rFonts w:hint="eastAsia"/>
        </w:rPr>
        <w:t>科室高级</w:t>
      </w:r>
      <w:r>
        <w:rPr>
          <w:rFonts w:hint="eastAsia"/>
        </w:rPr>
        <w:t>检查</w:t>
      </w:r>
      <w:r>
        <w:rPr>
          <w:rFonts w:hint="eastAsia"/>
        </w:rPr>
        <w:t>项目占比分析</w:t>
      </w:r>
    </w:p>
    <w:p w14:paraId="37316CF7" w14:textId="77777777" w:rsidR="00365FE0" w:rsidRPr="005C07A0" w:rsidRDefault="00365FE0">
      <w:pPr>
        <w:ind w:firstLineChars="200" w:firstLine="420"/>
        <w:jc w:val="center"/>
      </w:pPr>
    </w:p>
    <w:p w14:paraId="7E2E0855" w14:textId="3A952B3C" w:rsidR="00365FE0" w:rsidRDefault="005C07A0">
      <w:pPr>
        <w:pStyle w:val="3"/>
      </w:pPr>
      <w:r>
        <w:t>3</w:t>
      </w:r>
      <w:r w:rsidR="00E26E58">
        <w:rPr>
          <w:rFonts w:hint="eastAsia"/>
        </w:rPr>
        <w:t>.</w:t>
      </w:r>
      <w:r w:rsidR="00E26E58">
        <w:rPr>
          <w:rFonts w:hint="eastAsia"/>
        </w:rPr>
        <w:t>医疗数据的互联互通</w:t>
      </w:r>
    </w:p>
    <w:p w14:paraId="4702A575" w14:textId="7C0DF79C" w:rsidR="00365FE0" w:rsidRDefault="00E26E58">
      <w:pPr>
        <w:ind w:firstLineChars="200" w:firstLine="420"/>
      </w:pPr>
      <w:r>
        <w:rPr>
          <w:rFonts w:hint="eastAsia"/>
        </w:rPr>
        <w:t>通过统一标准的推行，一脉集团内的医疗机构和体检中心可以实现真正意义上的互联互通。这使得医学影像数据可以在不同的机构之间进行共享和交换，提高诊断的准确性和效率。同时，这也为</w:t>
      </w:r>
      <w:r w:rsidR="005C07A0">
        <w:rPr>
          <w:rFonts w:hint="eastAsia"/>
        </w:rPr>
        <w:t>集团资源共享、质控、远程</w:t>
      </w:r>
      <w:r>
        <w:rPr>
          <w:rFonts w:hint="eastAsia"/>
        </w:rPr>
        <w:t>会诊、病例讨论等医疗活动提供了</w:t>
      </w:r>
      <w:r w:rsidR="005C07A0">
        <w:rPr>
          <w:rFonts w:hint="eastAsia"/>
        </w:rPr>
        <w:t>基础支撑</w:t>
      </w:r>
      <w:r>
        <w:rPr>
          <w:rFonts w:hint="eastAsia"/>
        </w:rPr>
        <w:t>。</w:t>
      </w:r>
    </w:p>
    <w:p w14:paraId="3EE10D1D" w14:textId="7AC712F8" w:rsidR="00651360" w:rsidRDefault="00651360">
      <w:pPr>
        <w:ind w:firstLineChars="200" w:firstLine="420"/>
        <w:rPr>
          <w:rFonts w:hint="eastAsia"/>
        </w:rPr>
      </w:pPr>
      <w:r>
        <w:rPr>
          <w:rFonts w:hint="eastAsia"/>
        </w:rPr>
        <w:t>（数据查询和检索）</w:t>
      </w:r>
    </w:p>
    <w:p w14:paraId="4B9247A7" w14:textId="0F7B71F3" w:rsidR="00365FE0" w:rsidRDefault="005C07A0">
      <w:pPr>
        <w:pStyle w:val="3"/>
      </w:pPr>
      <w:r>
        <w:t>4</w:t>
      </w:r>
      <w:r w:rsidR="00E26E58">
        <w:rPr>
          <w:rFonts w:hint="eastAsia"/>
        </w:rPr>
        <w:t>.</w:t>
      </w:r>
      <w:r w:rsidR="00E26E58">
        <w:rPr>
          <w:rFonts w:hint="eastAsia"/>
        </w:rPr>
        <w:t>数据应用创新</w:t>
      </w:r>
    </w:p>
    <w:p w14:paraId="45D3BCD1" w14:textId="77777777" w:rsidR="00365FE0" w:rsidRDefault="00E26E58">
      <w:pPr>
        <w:ind w:firstLineChars="200" w:firstLine="420"/>
      </w:pPr>
      <w:r>
        <w:rPr>
          <w:rFonts w:hint="eastAsia"/>
        </w:rPr>
        <w:t>医学影像数据标准化建设也为</w:t>
      </w:r>
      <w:r>
        <w:rPr>
          <w:rFonts w:hint="eastAsia"/>
        </w:rPr>
        <w:t>数据应用创新提供了更多可能性。例如，通过对医学影像数据进行深度学习和人工智能分析，可以开发出智能辅助诊断、个性化治疗方案等创新应用。这些创新应用将提高医疗服务的水平和质量，为患者带来更好的就医体验。</w:t>
      </w:r>
    </w:p>
    <w:p w14:paraId="2349EB54" w14:textId="77777777" w:rsidR="00651360" w:rsidRPr="00651360" w:rsidRDefault="00651360" w:rsidP="00651360">
      <w:pPr>
        <w:rPr>
          <w:rFonts w:hint="eastAsia"/>
        </w:rPr>
      </w:pPr>
    </w:p>
    <w:p w14:paraId="2886F825" w14:textId="77777777" w:rsidR="00365FE0" w:rsidRDefault="00E26E58">
      <w:pPr>
        <w:pStyle w:val="2"/>
      </w:pPr>
      <w:r>
        <w:rPr>
          <w:rFonts w:hint="eastAsia"/>
        </w:rPr>
        <w:t>六、标准不断完善</w:t>
      </w:r>
    </w:p>
    <w:p w14:paraId="5CEA73B0" w14:textId="77777777" w:rsidR="00365FE0" w:rsidRDefault="00E26E58">
      <w:pPr>
        <w:ind w:firstLineChars="200" w:firstLine="420"/>
      </w:pPr>
      <w:r>
        <w:rPr>
          <w:rFonts w:hint="eastAsia"/>
        </w:rPr>
        <w:t>在标准化建设全面推进过程中，还</w:t>
      </w:r>
      <w:r>
        <w:t>要</w:t>
      </w:r>
      <w:r>
        <w:rPr>
          <w:rFonts w:hint="eastAsia"/>
        </w:rPr>
        <w:t>考虑</w:t>
      </w:r>
      <w:r>
        <w:t>和医保收费的项目的融合对接，</w:t>
      </w:r>
      <w:r>
        <w:rPr>
          <w:rFonts w:hint="eastAsia"/>
        </w:rPr>
        <w:t>同时</w:t>
      </w:r>
      <w:r>
        <w:t>满足区域</w:t>
      </w:r>
      <w:r>
        <w:lastRenderedPageBreak/>
        <w:t>化和个性化需求，</w:t>
      </w:r>
      <w:r>
        <w:rPr>
          <w:rFonts w:hint="eastAsia"/>
        </w:rPr>
        <w:t>并在实际应用中</w:t>
      </w:r>
      <w:r>
        <w:t>不断</w:t>
      </w:r>
      <w:r>
        <w:rPr>
          <w:rFonts w:hint="eastAsia"/>
        </w:rPr>
        <w:t>完善</w:t>
      </w:r>
      <w:r>
        <w:t>标准</w:t>
      </w:r>
      <w:r>
        <w:rPr>
          <w:rFonts w:hint="eastAsia"/>
        </w:rPr>
        <w:t>化</w:t>
      </w:r>
      <w:r>
        <w:t>项目</w:t>
      </w:r>
      <w:r>
        <w:rPr>
          <w:rFonts w:hint="eastAsia"/>
        </w:rPr>
        <w:t>内涵，不断优化标准的实用性和可操作性</w:t>
      </w:r>
      <w:r>
        <w:t>。</w:t>
      </w:r>
    </w:p>
    <w:p w14:paraId="29651562" w14:textId="6BC7B282" w:rsidR="00365FE0" w:rsidRDefault="00E26E58">
      <w:pPr>
        <w:ind w:firstLineChars="200" w:firstLine="420"/>
      </w:pPr>
      <w:r>
        <w:rPr>
          <w:rFonts w:hint="eastAsia"/>
        </w:rPr>
        <w:t>此外，一脉集团还积极加强与</w:t>
      </w:r>
      <w:r w:rsidR="00651360">
        <w:rPr>
          <w:rFonts w:hint="eastAsia"/>
        </w:rPr>
        <w:t>国家和地方的卫健委、放射</w:t>
      </w:r>
      <w:r>
        <w:rPr>
          <w:rFonts w:hint="eastAsia"/>
        </w:rPr>
        <w:t>学会</w:t>
      </w:r>
      <w:r w:rsidR="00651360">
        <w:rPr>
          <w:rFonts w:hint="eastAsia"/>
        </w:rPr>
        <w:t>、医师协会</w:t>
      </w:r>
      <w:r>
        <w:rPr>
          <w:rFonts w:hint="eastAsia"/>
        </w:rPr>
        <w:t>等权威机构的合作，旨在构建一个兼具权威性和公信力的标准化体系，逐步将一脉标准升级为团体标准及行业标准，从而对整个行业的发展做出积极贡献。</w:t>
      </w:r>
    </w:p>
    <w:p w14:paraId="25F22067" w14:textId="77777777" w:rsidR="00365FE0" w:rsidRDefault="00365FE0">
      <w:pPr>
        <w:ind w:firstLineChars="200" w:firstLine="420"/>
      </w:pPr>
    </w:p>
    <w:p w14:paraId="10C0DF40" w14:textId="6630996D" w:rsidR="00365FE0" w:rsidRDefault="00E26E58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3DDF92EB" wp14:editId="4FDCD6FD">
            <wp:extent cx="2465408" cy="2142379"/>
            <wp:effectExtent l="0" t="0" r="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968" cy="216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E214" w14:textId="56038E57" w:rsidR="00DC2D98" w:rsidRDefault="00DC2D98" w:rsidP="00DC2D98">
      <w:pPr>
        <w:ind w:firstLineChars="200" w:firstLine="420"/>
        <w:jc w:val="center"/>
      </w:pPr>
      <w:r>
        <w:rPr>
          <w:rFonts w:hint="eastAsia"/>
        </w:rPr>
        <w:t>图五：</w:t>
      </w:r>
      <w:r>
        <w:t>标准实施与修订的闭环管理</w:t>
      </w:r>
    </w:p>
    <w:p w14:paraId="717ACB8D" w14:textId="77777777" w:rsidR="00DC2D98" w:rsidRPr="00DC2D98" w:rsidRDefault="00DC2D98">
      <w:pPr>
        <w:ind w:firstLineChars="200" w:firstLine="420"/>
        <w:jc w:val="center"/>
        <w:rPr>
          <w:rFonts w:hint="eastAsia"/>
        </w:rPr>
      </w:pPr>
    </w:p>
    <w:p w14:paraId="52415CA3" w14:textId="77777777" w:rsidR="00365FE0" w:rsidRDefault="00E26E58">
      <w:pPr>
        <w:pStyle w:val="2"/>
      </w:pPr>
      <w:r>
        <w:rPr>
          <w:rFonts w:hint="eastAsia"/>
        </w:rPr>
        <w:t>七、总结</w:t>
      </w:r>
    </w:p>
    <w:p w14:paraId="308BB082" w14:textId="77777777" w:rsidR="00365FE0" w:rsidRDefault="00E26E58">
      <w:pPr>
        <w:ind w:firstLineChars="200" w:firstLine="420"/>
      </w:pPr>
      <w:r>
        <w:rPr>
          <w:rFonts w:hint="eastAsia"/>
        </w:rPr>
        <w:t>通过数据标准化建设，一脉集团实现了数据的统一管理和高效利用，提高了医疗服务的效率和质量。同时，这也为其他医疗机构和第三方服务商提供了更可靠、准确的数据支持。在未来的发展中，一脉集团将持续优化和推进标准化建设工作，积极探索新的数据应用场景，深度挖掘和分析数据</w:t>
      </w:r>
      <w:r>
        <w:rPr>
          <w:rFonts w:hint="eastAsia"/>
        </w:rPr>
        <w:t>，为医疗行业的数字化转型提供强有力的支持。</w:t>
      </w:r>
    </w:p>
    <w:sectPr w:rsidR="0036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1C62"/>
    <w:multiLevelType w:val="singleLevel"/>
    <w:tmpl w:val="3E2D1C62"/>
    <w:lvl w:ilvl="0">
      <w:start w:val="1"/>
      <w:numFmt w:val="bullet"/>
      <w:lvlText w:val=""/>
      <w:lvlJc w:val="left"/>
      <w:pPr>
        <w:tabs>
          <w:tab w:val="left" w:pos="420"/>
        </w:tabs>
        <w:ind w:left="553" w:hanging="133"/>
      </w:pPr>
      <w:rPr>
        <w:rFonts w:ascii="Wingdings" w:hAnsi="Wingdings" w:hint="default"/>
        <w:sz w:val="11"/>
        <w:szCs w:val="11"/>
      </w:rPr>
    </w:lvl>
  </w:abstractNum>
  <w:abstractNum w:abstractNumId="1" w15:restartNumberingAfterBreak="0">
    <w:nsid w:val="7DB0E144"/>
    <w:multiLevelType w:val="singleLevel"/>
    <w:tmpl w:val="7DB0E14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g1YTAyYThjMGY2MTU3ODc0MDcxZDE2N2Y4ZmNhYjAifQ=="/>
  </w:docVars>
  <w:rsids>
    <w:rsidRoot w:val="337B54D6"/>
    <w:rsid w:val="00017028"/>
    <w:rsid w:val="00065D7D"/>
    <w:rsid w:val="000E026F"/>
    <w:rsid w:val="0023039A"/>
    <w:rsid w:val="00365FE0"/>
    <w:rsid w:val="0038274E"/>
    <w:rsid w:val="00385EE6"/>
    <w:rsid w:val="005C07A0"/>
    <w:rsid w:val="00651360"/>
    <w:rsid w:val="00885F31"/>
    <w:rsid w:val="008B4686"/>
    <w:rsid w:val="00A35D85"/>
    <w:rsid w:val="00A56558"/>
    <w:rsid w:val="00AA4B23"/>
    <w:rsid w:val="00BB0419"/>
    <w:rsid w:val="00C24D4E"/>
    <w:rsid w:val="00C63D27"/>
    <w:rsid w:val="00CF7559"/>
    <w:rsid w:val="00D661F7"/>
    <w:rsid w:val="00DC2647"/>
    <w:rsid w:val="00DC2D98"/>
    <w:rsid w:val="00DE687F"/>
    <w:rsid w:val="00E26E58"/>
    <w:rsid w:val="00FA608D"/>
    <w:rsid w:val="00FB03B0"/>
    <w:rsid w:val="01E50D53"/>
    <w:rsid w:val="023A2E4D"/>
    <w:rsid w:val="052D7CE2"/>
    <w:rsid w:val="078F4FB2"/>
    <w:rsid w:val="07ED4423"/>
    <w:rsid w:val="15263883"/>
    <w:rsid w:val="19D41EDC"/>
    <w:rsid w:val="1D457387"/>
    <w:rsid w:val="209C1631"/>
    <w:rsid w:val="224901F2"/>
    <w:rsid w:val="24286B52"/>
    <w:rsid w:val="24CF3471"/>
    <w:rsid w:val="24E3525A"/>
    <w:rsid w:val="2A0E6841"/>
    <w:rsid w:val="2A0F3B8D"/>
    <w:rsid w:val="2D28245E"/>
    <w:rsid w:val="2FF9333B"/>
    <w:rsid w:val="308471EB"/>
    <w:rsid w:val="30E958BB"/>
    <w:rsid w:val="337B54D6"/>
    <w:rsid w:val="33E374BD"/>
    <w:rsid w:val="347F62B4"/>
    <w:rsid w:val="355046FE"/>
    <w:rsid w:val="374970B3"/>
    <w:rsid w:val="37FE02EA"/>
    <w:rsid w:val="3A4C410E"/>
    <w:rsid w:val="3F5A31B1"/>
    <w:rsid w:val="45183286"/>
    <w:rsid w:val="464E3927"/>
    <w:rsid w:val="46EF4C14"/>
    <w:rsid w:val="472059DC"/>
    <w:rsid w:val="47FC77BD"/>
    <w:rsid w:val="4BFC604B"/>
    <w:rsid w:val="4CA3647F"/>
    <w:rsid w:val="4F1862AA"/>
    <w:rsid w:val="4FA92D23"/>
    <w:rsid w:val="4FD712A8"/>
    <w:rsid w:val="538611FE"/>
    <w:rsid w:val="55560EC1"/>
    <w:rsid w:val="56A50BBE"/>
    <w:rsid w:val="590E6E01"/>
    <w:rsid w:val="5A6A29F3"/>
    <w:rsid w:val="5BB57101"/>
    <w:rsid w:val="5C1519EC"/>
    <w:rsid w:val="5D7012B3"/>
    <w:rsid w:val="62E16E95"/>
    <w:rsid w:val="633604BC"/>
    <w:rsid w:val="660D2ED6"/>
    <w:rsid w:val="69C77840"/>
    <w:rsid w:val="6BFB7C75"/>
    <w:rsid w:val="6C367E96"/>
    <w:rsid w:val="6D6940C9"/>
    <w:rsid w:val="6E2A64C4"/>
    <w:rsid w:val="73303517"/>
    <w:rsid w:val="755017E6"/>
    <w:rsid w:val="755218D0"/>
    <w:rsid w:val="77475A9D"/>
    <w:rsid w:val="78045D59"/>
    <w:rsid w:val="7A00138E"/>
    <w:rsid w:val="7B5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F4F5B8"/>
  <w15:docId w15:val="{DB0C242C-F6F0-8144-B702-1E89287C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spacing w:before="120" w:after="80" w:line="360" w:lineRule="auto"/>
      <w:outlineLvl w:val="3"/>
    </w:pPr>
    <w:rPr>
      <w:rFonts w:eastAsia="黑体"/>
      <w:b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rsid w:val="00C24D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character" w:styleId="a4">
    <w:name w:val="Subtle Emphasis"/>
    <w:basedOn w:val="a0"/>
    <w:uiPriority w:val="19"/>
    <w:qFormat/>
    <w:rsid w:val="00C24D4E"/>
    <w:rPr>
      <w:i/>
      <w:iCs/>
      <w:color w:val="404040" w:themeColor="text1" w:themeTint="BF"/>
    </w:rPr>
  </w:style>
  <w:style w:type="character" w:styleId="a5">
    <w:name w:val="Strong"/>
    <w:basedOn w:val="a0"/>
    <w:qFormat/>
    <w:rsid w:val="00C24D4E"/>
    <w:rPr>
      <w:b/>
      <w:bCs/>
    </w:rPr>
  </w:style>
  <w:style w:type="character" w:styleId="a6">
    <w:name w:val="Emphasis"/>
    <w:basedOn w:val="a0"/>
    <w:qFormat/>
    <w:rsid w:val="00C24D4E"/>
    <w:rPr>
      <w:i/>
      <w:iCs/>
    </w:rPr>
  </w:style>
  <w:style w:type="paragraph" w:styleId="a7">
    <w:name w:val="Subtitle"/>
    <w:basedOn w:val="a"/>
    <w:next w:val="a"/>
    <w:link w:val="a8"/>
    <w:qFormat/>
    <w:rsid w:val="00C24D4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C24D4E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rsid w:val="00C24D4E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想做熊的孩子</dc:creator>
  <cp:lastModifiedBy>lzhy9999@sohu.com</cp:lastModifiedBy>
  <cp:revision>7</cp:revision>
  <dcterms:created xsi:type="dcterms:W3CDTF">2023-10-10T07:01:00Z</dcterms:created>
  <dcterms:modified xsi:type="dcterms:W3CDTF">2023-10-12T07:22:00Z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2681DD4043234143976D790D1EC48484_11</vt:lpwstr>
  </property>
</Properties>
</file>