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Merge w:val="restart"/>
          </w:tcPr>
          <w:p>
            <w:r>
              <w:rPr>
                <w:b/>
                <w:sz w:val="28"/>
              </w:rPr>
              <w:t>ThinkConnect IA</w:t>
            </w:r>
          </w:p>
        </w:tc>
        <w:tc>
          <w:tcPr>
            <w:tcW w:type="dxa" w:w="4752"/>
            <w:vMerge w:val="restart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SISTEMA INTEGRADO DE GESTIÓN DE CALIDAD Y GOBERNANZA IA</w:t>
              <w:br/>
              <w:t>(ISO 9001:2015 • ISO/IEC 42001:2023 • ISO/IEC 29110)</w:t>
              <w:br/>
            </w:r>
            <w:r>
              <w:rPr>
                <w:b/>
                <w:color w:val="0F172A"/>
                <w:sz w:val="22"/>
              </w:rPr>
              <w:t>MANUAL INTEGRADO DE CALIDAD Y GOBERNANZA DE IA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Código: SGC-AIMS-MAN-001</w:t>
              <w:br/>
              <w:t>Versión: 1.0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4752"/>
            <w:vMerge/>
          </w:tcPr>
          <w:p/>
        </w:tc>
        <w:tc>
          <w:tcPr>
            <w:tcW w:type="dxa" w:w="2160"/>
          </w:tcPr>
          <w:p>
            <w:r>
              <w:rPr>
                <w:sz w:val="17"/>
              </w:rPr>
              <w:t>Vigencia: 15/10/2026</w:t>
              <w:br/>
              <w:t>Estado: APROBADO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1. OBJETO Y ALCANCE DEL SISTEMA INTEGRADO (ISO 9001 Cl. 4.3 / ISO 42001 Cl. 4.3)</w:t>
      </w:r>
    </w:p>
    <w:p>
      <w:pPr>
        <w:spacing w:after="120"/>
      </w:pPr>
      <w:r>
        <w:rPr>
          <w:rFonts w:ascii="Calibri" w:hAnsi="Calibri"/>
          <w:sz w:val="20"/>
        </w:rPr>
        <w:t>El presente Manual establece la arquitectura, políticas y controles del Sistema Integrado de Gestión de Calidad y Gobernanza de Inteligencia Artificial (SGC-AIMS) de ThinkConnect IA, con sede operativa en Godoy Cruz, Provincia de Mendoza, República Argentina.</w:t>
      </w:r>
    </w:p>
    <w:p>
      <w:pPr>
        <w:spacing w:after="120"/>
      </w:pPr>
      <w:r>
        <w:rPr>
          <w:rFonts w:ascii="Calibri" w:hAnsi="Calibri"/>
          <w:sz w:val="20"/>
        </w:rPr>
        <w:t>ALCANCE CERTIFICABLE DECLARADO: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«Diseño, desarrollo, implementación, operación y soporte técnico de software a medida, plataformas SaaS, integraciones con servicios web fiscales/gubernamentales (ARCA/ATM), infraestructura DePIN/GovTech y sistemas multi-agente autónomos basados en Inteligencia Artificial.»</w:t>
      </w:r>
    </w:p>
    <w:p>
      <w:pPr>
        <w:spacing w:after="120"/>
      </w:pPr>
      <w:r>
        <w:rPr>
          <w:rFonts w:ascii="Calibri" w:hAnsi="Calibri"/>
          <w:sz w:val="20"/>
        </w:rPr>
        <w:t>Este Sistema integra en un cuerpo normativo único los requisitos de: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ISO 9001:2015 (Sistemas de Gestión de la Calidad — Requisitos).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ISO/IEC 42001:2023 (Tecnología de la Información — Inteligencia Artificial — Sistema de Gestión AIMS).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ISO/IEC 29110-4-1 (Ingeniería de Sistemas y Software — Perfiles de Ciclo de Vida para PyMEs).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NIST AI Risk Management Framework (AI RMF 1.0 &amp; Generative AI Profile NIST AI 600-1).</w:t>
      </w:r>
    </w:p>
    <w:p>
      <w:pPr>
        <w:pStyle w:val="Heading1"/>
      </w:pPr>
      <w:r>
        <w:rPr>
          <w:color w:val="1E293B"/>
          <w:sz w:val="26"/>
        </w:rPr>
        <w:t>2. POLÍTICA INTEGRADA DE CALIDAD Y ÉTICA EN INTELIGENCIA ARTIFICIAL (Cl. 5.2)</w:t>
      </w:r>
    </w:p>
    <w:p>
      <w:pPr>
        <w:spacing w:after="120"/>
      </w:pPr>
      <w:r>
        <w:rPr>
          <w:rFonts w:ascii="Calibri" w:hAnsi="Calibri"/>
          <w:sz w:val="20"/>
        </w:rPr>
        <w:t>La Dirección de ThinkConnect IA establece como compromisos innegociables de su operatoria tecnológica: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Determinismo y Cero Alucinación Transaccional: Ningún modelo fundacional (LLM) tiene permiso de escritura libre sobre bases de datos relacionales o sistemas fiscales. Toda mutación de estado se ejecuta mediante contratos de herramientas tipados (Function Calling), validaciones de esquema y registros de auditoría inmutables (SQLite WAL / PostgreSQL / BigQuery).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Supervisión Humana Efectiva (Human-in-the-Loop - HITL): Las decisiones críticas de índole fiscal, contable, patrimonial o de infraestructura cuentan con verificación criptográfica externa (CAE ARCA, hashes SHA-256) o confirmación del operador autorizado.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Privacidad, Soberanía de Datos y Seguridad por Diseño: Separación estricta de entornos, ejecución de modelos locales cuando la confidencialidad lo requiere (Server_IA con Ollama/OpenVINO) y resguardo automatizado e inmutable de copias de seguridad mediante Veeam.</w:t>
      </w:r>
    </w:p>
    <w:p>
      <w:pPr>
        <w:pStyle w:val="ListBullet"/>
        <w:spacing w:after="120"/>
      </w:pPr>
      <w:r>
        <w:rPr>
          <w:rFonts w:ascii="Calibri" w:hAnsi="Calibri"/>
          <w:sz w:val="20"/>
        </w:rPr>
        <w:t>Mejora Continua y Cumplimiento Normativo: Cumplimiento estricto de la Ley 25.326 de Protección de Datos Personales, normativas técnicas de ARCA (ex AFIP), estándares de accesibilidad W3C WCAG 2.2 AA y lineamientos de la Ley 27.506 de Régimen de Promoción de la Economía del Conocimiento.</w:t>
      </w:r>
    </w:p>
    <w:p>
      <w:pPr>
        <w:pStyle w:val="Heading1"/>
      </w:pPr>
      <w:r>
        <w:rPr>
          <w:color w:val="1E293B"/>
          <w:sz w:val="26"/>
        </w:rPr>
        <w:t>3. ARQUITECTURA DE GOBERNANZA DE IA: LA MÁQUINA DE 4 PISOS (ISO 42001 Anexo A)</w:t>
      </w:r>
    </w:p>
    <w:p>
      <w:pPr>
        <w:spacing w:after="120"/>
      </w:pPr>
      <w:r>
        <w:rPr>
          <w:rFonts w:ascii="Calibri" w:hAnsi="Calibri"/>
          <w:sz w:val="20"/>
        </w:rPr>
        <w:t>Para garantizar la trazabilidad, explicabilidad y ausencia de deriva semántica en sistemas agénticos, ThinkConnect IA implementa de forma obligatoria la arquitectura de memoria y estado de 4 niveles (The Archive / Google ADK Architecture):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Nivel / Piso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Ámbito Técnico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Regla de Gobernanza ISO/IEC 42001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Mecanismo de Control y Auditoría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Piso 1: Estado de Sesión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session.state (Volátil)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Controlado exclusivamente por código Python determinístico; prohibida la alteración por texto libre del LLM.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Validación de tipos en tiempo de ejecución y sanitización de entradas.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Piso 2: Identidad y Reglas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user:state (Persistente)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Almacena reglas de negocio inmutables, firmas institucionales y políticas de seguridad del cliente.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Bloqueo de alcance (Strict Scope Lock) y control de versiones en Git.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Piso 3: Memoria Semántica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Vertex AI Memory Bank / Chronicle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Destilación curada de lecciones aprendidas y contexto técnico; separación estricta respecto de hechos contables.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Revisión asíncrona y trazabilidad de fuentes documentales (RAG Grounding).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Piso 4: Hechos Duros (ACID)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SQLite WAL / PostgreSQL / BigQuery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Única fuente de verdad para comprobantes fiscales, cuentas corrientes, remitos y series de hardware.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Integridad referencial ACID, recibos criptográficos CAE y backups Veeam en Server_IA.</w:t>
            </w:r>
          </w:p>
        </w:tc>
      </w:tr>
    </w:tbl>
    <w:p/>
    <w:p>
      <w:pPr>
        <w:pStyle w:val="Heading1"/>
      </w:pPr>
      <w:r>
        <w:rPr>
          <w:color w:val="1E293B"/>
          <w:sz w:val="26"/>
        </w:rPr>
        <w:t>4. OBJETIVOS DE CALIDAD E INDICADORES CLAVE (KPIs 2026-2027)</w:t>
      </w:r>
    </w:p>
    <w:p>
      <w:pPr>
        <w:spacing w:after="120"/>
      </w:pPr>
      <w:r>
        <w:rPr>
          <w:rFonts w:ascii="Calibri" w:hAnsi="Calibri"/>
          <w:sz w:val="20"/>
        </w:rPr>
        <w:t>La Dirección monitorea trimestralmente el desempeño del SGC-AIMS a través de métricas cuantitativas verificables: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Indicador (KPI)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Fórmula / Métrica de Medición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Meta Objetiva</w:t>
            </w:r>
          </w:p>
        </w:tc>
        <w:tc>
          <w:tcPr>
            <w:tcW w:type="dxa" w:w="2448"/>
            <w:shd w:fill="1E293B"/>
          </w:tcPr>
          <w:p>
            <w:r>
              <w:rPr>
                <w:b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Exactitud en Emisión Electrónica e Integraciones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(Transacciones exitosas validadas con CAE o API / Total emitidas) x 100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100,0%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Mensual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Tasa de Éxito de Backups en Infraestructura (Server_IA)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(Ejecuciones Veeam exitosas sin error / Total programadas) x 100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&gt;= 99,5%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Semanal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Cumplimiento de SLA en Soporte IT Corporativo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Tickets resueltos dentro de la ventana acordada (Remoto / En Sitio)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&gt;= 98,0%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Quincenal</w:t>
            </w:r>
          </w:p>
        </w:tc>
      </w:tr>
      <w:tr>
        <w:tc>
          <w:tcPr>
            <w:tcW w:type="dxa" w:w="2448"/>
            <w:shd w:fill="F8FAFC"/>
          </w:tcPr>
          <w:p>
            <w:r>
              <w:rPr>
                <w:sz w:val="17"/>
              </w:rPr>
              <w:t>Incidencia de Fugas o Escrituras No Autorizadas por IA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Eventos de corrupción de datos o violación de frontera Piso 3 -&gt; Piso 4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0 Eventos</w:t>
            </w:r>
          </w:p>
        </w:tc>
        <w:tc>
          <w:tcPr>
            <w:tcW w:type="dxa" w:w="2448"/>
            <w:shd w:fill="F8FAFC"/>
          </w:tcPr>
          <w:p>
            <w:r>
              <w:rPr>
                <w:sz w:val="17"/>
              </w:rPr>
              <w:t>Continuo</w:t>
            </w:r>
          </w:p>
        </w:tc>
      </w:tr>
      <w:tr>
        <w:tc>
          <w:tcPr>
            <w:tcW w:type="dxa" w:w="2448"/>
            <w:shd w:fill="FFFFFF"/>
          </w:tcPr>
          <w:p>
            <w:r>
              <w:rPr>
                <w:sz w:val="17"/>
              </w:rPr>
              <w:t>Satisfacción del Cliente y Conformidad de Entregas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Entregas de software/sistemas aprobadas sin rechazo crítico en producción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&gt;= 95,0%</w:t>
            </w:r>
          </w:p>
        </w:tc>
        <w:tc>
          <w:tcPr>
            <w:tcW w:type="dxa" w:w="2448"/>
            <w:shd w:fill="FFFFFF"/>
          </w:tcPr>
          <w:p>
            <w:r>
              <w:rPr>
                <w:sz w:val="17"/>
              </w:rPr>
              <w:t>Trimestral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ELABORÓ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REVISÓ (AUDITORÍA INTERNA)</w:t>
            </w:r>
          </w:p>
        </w:tc>
        <w:tc>
          <w:tcPr>
            <w:tcW w:type="dxa" w:w="3264"/>
            <w:shd w:fill="F1F5F9"/>
          </w:tcPr>
          <w:p>
            <w:r>
              <w:rPr>
                <w:b/>
                <w:sz w:val="17"/>
              </w:rPr>
              <w:t>APROBÓ (DIRECCIÓN GENERAL)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Comité de Ingeniería &amp; Arquitectura IA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Unidad de Aseguramiento de Calidad (QA)</w:t>
              <w:br/>
              <w:t>ThinkConnect IA</w:t>
              <w:br/>
              <w:t>Fecha: 15/10/2026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Carlos Ferro</w:t>
              <w:br/>
              <w:t>Director de Innovación y Arquitectura Tecnológica</w:t>
              <w:br/>
              <w:t>ThinkConnect IA — www.thinkconnect.com.ar</w:t>
              <w:br/>
              <w:t>carlos@thinkconnect.com.ar | Tel: 261 418-6751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