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Merge w:val="restart"/>
          </w:tcPr>
          <w:p>
            <w:r>
              <w:rPr>
                <w:b/>
                <w:sz w:val="28"/>
              </w:rPr>
              <w:t>ThinkConnect IA</w:t>
            </w:r>
          </w:p>
        </w:tc>
        <w:tc>
          <w:tcPr>
            <w:tcW w:type="dxa" w:w="4752"/>
            <w:vMerge w:val="restart"/>
          </w:tcPr>
          <w:p>
            <w:pPr>
              <w:jc w:val="center"/>
            </w:pPr>
            <w:r>
              <w:rPr>
                <w:b/>
                <w:color w:val="475569"/>
                <w:sz w:val="17"/>
              </w:rPr>
              <w:t>SISTEMA INTEGRADO DE GESTIÓN DE CALIDAD Y GOBERNANZA IA</w:t>
              <w:br/>
              <w:t>(ISO 9001:2015 • ISO/IEC 42001:2023 • ISO/IEC 29110)</w:t>
              <w:br/>
            </w:r>
            <w:r>
              <w:rPr>
                <w:b/>
                <w:color w:val="0F172A"/>
                <w:sz w:val="22"/>
              </w:rPr>
              <w:t>FICHAS DE TRANSPARENCIA ALGORÍTMICA (AI SYSTEM CARDS)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Código: SGC-AIMS-FIC-001</w:t>
              <w:br/>
              <w:t>Versión: 1.0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4752"/>
            <w:vMerge/>
          </w:tcPr>
          <w:p/>
        </w:tc>
        <w:tc>
          <w:tcPr>
            <w:tcW w:type="dxa" w:w="2160"/>
          </w:tcPr>
          <w:p>
            <w:r>
              <w:rPr>
                <w:sz w:val="17"/>
              </w:rPr>
              <w:t>Vigencia: 15/10/2026</w:t>
              <w:br/>
              <w:t>Estado: APROBADO</w:t>
            </w:r>
          </w:p>
        </w:tc>
      </w:tr>
    </w:tbl>
    <w:p/>
    <w:p>
      <w:pPr>
        <w:pStyle w:val="Heading1"/>
      </w:pPr>
      <w:r>
        <w:rPr>
          <w:color w:val="1E293B"/>
          <w:sz w:val="26"/>
        </w:rPr>
        <w:t>1. REGISTRO OFICIAL DE SISTEMAS DE IA EN PRODUCCIÓN (ISO/IEC 42001 Cl. 6.1.3 / NIST MAP)</w:t>
      </w:r>
    </w:p>
    <w:p>
      <w:pPr>
        <w:spacing w:after="120"/>
      </w:pPr>
      <w:r>
        <w:rPr>
          <w:rFonts w:ascii="Calibri" w:hAnsi="Calibri"/>
          <w:sz w:val="20"/>
        </w:rPr>
        <w:t>En cumplimiento de los requisitos de transparencia, inventario de activos algorítmicos y evaluación de impacto del sistema (AI System Impact Assessment), se documentan las Fichas Técnicas (AI System Cards) de las plataformas operativas de ThinkConnect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E293B"/>
          </w:tcPr>
          <w:p>
            <w:r>
              <w:rPr>
                <w:b/>
                <w:color w:val="FFFFFF"/>
                <w:sz w:val="18"/>
              </w:rPr>
              <w:t>ID Sistema</w:t>
            </w:r>
          </w:p>
        </w:tc>
        <w:tc>
          <w:tcPr>
            <w:tcW w:type="dxa" w:w="1958"/>
            <w:shd w:fill="1E293B"/>
          </w:tcPr>
          <w:p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type="dxa" w:w="1958"/>
            <w:shd w:fill="1E293B"/>
          </w:tcPr>
          <w:p>
            <w:r>
              <w:rPr>
                <w:b/>
                <w:color w:val="FFFFFF"/>
                <w:sz w:val="18"/>
              </w:rPr>
              <w:t>Modelos / Motor IA</w:t>
            </w:r>
          </w:p>
        </w:tc>
        <w:tc>
          <w:tcPr>
            <w:tcW w:type="dxa" w:w="1958"/>
            <w:shd w:fill="1E293B"/>
          </w:tcPr>
          <w:p>
            <w:r>
              <w:rPr>
                <w:b/>
                <w:color w:val="FFFFFF"/>
                <w:sz w:val="18"/>
              </w:rPr>
              <w:t>Nivel de Riesgo (UE AI Act / NIST)</w:t>
            </w:r>
          </w:p>
        </w:tc>
        <w:tc>
          <w:tcPr>
            <w:tcW w:type="dxa" w:w="1958"/>
            <w:shd w:fill="1E293B"/>
          </w:tcPr>
          <w:p>
            <w:r>
              <w:rPr>
                <w:b/>
                <w:color w:val="FFFFFF"/>
                <w:sz w:val="18"/>
              </w:rPr>
              <w:t>Barreras de Seguridad y Control Humano (Guardrails)</w:t>
            </w:r>
          </w:p>
        </w:tc>
      </w:tr>
      <w:tr>
        <w:tc>
          <w:tcPr>
            <w:tcW w:type="dxa" w:w="1958"/>
            <w:shd w:fill="FFFFFF"/>
          </w:tcPr>
          <w:p>
            <w:r>
              <w:rPr>
                <w:sz w:val="17"/>
              </w:rPr>
              <w:t>AI-SYS-01</w:t>
            </w:r>
          </w:p>
        </w:tc>
        <w:tc>
          <w:tcPr>
            <w:tcW w:type="dxa" w:w="1958"/>
            <w:shd w:fill="FFFFFF"/>
          </w:tcPr>
          <w:p>
            <w:r>
              <w:rPr>
                <w:sz w:val="17"/>
              </w:rPr>
              <w:t>ThinkConnect Core Agentic Workspace (Arquitectura 4 Pisos)</w:t>
            </w:r>
          </w:p>
        </w:tc>
        <w:tc>
          <w:tcPr>
            <w:tcW w:type="dxa" w:w="1958"/>
            <w:shd w:fill="FFFFFF"/>
          </w:tcPr>
          <w:p>
            <w:r>
              <w:rPr>
                <w:sz w:val="17"/>
              </w:rPr>
              <w:t>Gemini 2.5 Pro/Flash + Google ADK + Vertex AI Memory Bank + Ollama Local (Server_IA)</w:t>
            </w:r>
          </w:p>
        </w:tc>
        <w:tc>
          <w:tcPr>
            <w:tcW w:type="dxa" w:w="1958"/>
            <w:shd w:fill="FFFFFF"/>
          </w:tcPr>
          <w:p>
            <w:r>
              <w:rPr>
                <w:sz w:val="17"/>
              </w:rPr>
              <w:t>Limitado / Controlado</w:t>
            </w:r>
          </w:p>
        </w:tc>
        <w:tc>
          <w:tcPr>
            <w:tcW w:type="dxa" w:w="1958"/>
            <w:shd w:fill="FFFFFF"/>
          </w:tcPr>
          <w:p>
            <w:r>
              <w:rPr>
                <w:sz w:val="17"/>
              </w:rPr>
              <w:t>Ejecución confinada a entorno virtual único; separación en 4 pisos; prohibición de SQL libre desde LLM; logs JSONL completos de cada paso y herramienta invocada.</w:t>
            </w:r>
          </w:p>
        </w:tc>
      </w:tr>
      <w:tr>
        <w:tc>
          <w:tcPr>
            <w:tcW w:type="dxa" w:w="1958"/>
            <w:shd w:fill="F8FAFC"/>
          </w:tcPr>
          <w:p>
            <w:r>
              <w:rPr>
                <w:sz w:val="17"/>
              </w:rPr>
              <w:t>AI-SYS-02</w:t>
            </w:r>
          </w:p>
        </w:tc>
        <w:tc>
          <w:tcPr>
            <w:tcW w:type="dxa" w:w="1958"/>
            <w:shd w:fill="F8FAFC"/>
          </w:tcPr>
          <w:p>
            <w:r>
              <w:rPr>
                <w:sz w:val="17"/>
              </w:rPr>
              <w:t>EstudioConta Pro &amp; Asistente Contable ARCA/ATM (Proyecto 5)</w:t>
            </w:r>
          </w:p>
        </w:tc>
        <w:tc>
          <w:tcPr>
            <w:tcW w:type="dxa" w:w="1958"/>
            <w:shd w:fill="F8FAFC"/>
          </w:tcPr>
          <w:p>
            <w:r>
              <w:rPr>
                <w:sz w:val="17"/>
              </w:rPr>
              <w:t>Gemini 2.5 + Motor Determinístico Python de Liquidación Tributaria (F.2051 / F.5111)</w:t>
            </w:r>
          </w:p>
        </w:tc>
        <w:tc>
          <w:tcPr>
            <w:tcW w:type="dxa" w:w="1958"/>
            <w:shd w:fill="F8FAFC"/>
          </w:tcPr>
          <w:p>
            <w:r>
              <w:rPr>
                <w:sz w:val="17"/>
              </w:rPr>
              <w:t>Alto (Dominio Fiscal/Contable) -&gt; Mitigado a Bajo</w:t>
            </w:r>
          </w:p>
        </w:tc>
        <w:tc>
          <w:tcPr>
            <w:tcW w:type="dxa" w:w="1958"/>
            <w:shd w:fill="F8FAFC"/>
          </w:tcPr>
          <w:p>
            <w:r>
              <w:rPr>
                <w:sz w:val="17"/>
              </w:rPr>
              <w:t>El cálculo impositivo (IVA, IIBB, Ganancias) es 100% ejecutado por algoritmos determinísticos en Python/Excel; la IA asiste en clasificación, doctrina y generación de reportes bajo revisión profesional.</w:t>
            </w:r>
          </w:p>
        </w:tc>
      </w:tr>
      <w:tr>
        <w:tc>
          <w:tcPr>
            <w:tcW w:type="dxa" w:w="1958"/>
            <w:shd w:fill="FFFFFF"/>
          </w:tcPr>
          <w:p>
            <w:r>
              <w:rPr>
                <w:sz w:val="17"/>
              </w:rPr>
              <w:t>AI-SYS-03</w:t>
            </w:r>
          </w:p>
        </w:tc>
        <w:tc>
          <w:tcPr>
            <w:tcW w:type="dxa" w:w="1958"/>
            <w:shd w:fill="FFFFFF"/>
          </w:tcPr>
          <w:p>
            <w:r>
              <w:rPr>
                <w:sz w:val="17"/>
              </w:rPr>
              <w:t>UrbanAgent OS &amp; EcoCívica / TerraVolt DePIN (Proyecto 16)</w:t>
            </w:r>
          </w:p>
        </w:tc>
        <w:tc>
          <w:tcPr>
            <w:tcW w:type="dxa" w:w="1958"/>
            <w:shd w:fill="FFFFFF"/>
          </w:tcPr>
          <w:p>
            <w:r>
              <w:rPr>
                <w:sz w:val="17"/>
              </w:rPr>
              <w:t>Agentes Multimodales + Visión Computacional Edge + Oráculos IoT/Blockchain</w:t>
            </w:r>
          </w:p>
        </w:tc>
        <w:tc>
          <w:tcPr>
            <w:tcW w:type="dxa" w:w="1958"/>
            <w:shd w:fill="FFFFFF"/>
          </w:tcPr>
          <w:p>
            <w:r>
              <w:rPr>
                <w:sz w:val="17"/>
              </w:rPr>
              <w:t>Limitado (Infraestructura Cívica Smart City)</w:t>
            </w:r>
          </w:p>
        </w:tc>
        <w:tc>
          <w:tcPr>
            <w:tcW w:type="dxa" w:w="1958"/>
            <w:shd w:fill="FFFFFF"/>
          </w:tcPr>
          <w:p>
            <w:r>
              <w:rPr>
                <w:sz w:val="17"/>
              </w:rPr>
              <w:t>Validación cruzada por telemetría física (básculas IoT, sensores, GPS), trazabilidad criptográfica de activos RWA y panel de supervisión municipal en tiempo real.</w:t>
            </w:r>
          </w:p>
        </w:tc>
      </w:tr>
      <w:tr>
        <w:tc>
          <w:tcPr>
            <w:tcW w:type="dxa" w:w="1958"/>
            <w:shd w:fill="F8FAFC"/>
          </w:tcPr>
          <w:p>
            <w:r>
              <w:rPr>
                <w:sz w:val="17"/>
              </w:rPr>
              <w:t>AI-SYS-04</w:t>
            </w:r>
          </w:p>
        </w:tc>
        <w:tc>
          <w:tcPr>
            <w:tcW w:type="dxa" w:w="1958"/>
            <w:shd w:fill="F8FAFC"/>
          </w:tcPr>
          <w:p>
            <w:r>
              <w:rPr>
                <w:sz w:val="17"/>
              </w:rPr>
              <w:t>Sistema de Gestión, Cotización y Facturación Electrónica (Proyectos 4 y 17)</w:t>
            </w:r>
          </w:p>
        </w:tc>
        <w:tc>
          <w:tcPr>
            <w:tcW w:type="dxa" w:w="1958"/>
            <w:shd w:fill="F8FAFC"/>
          </w:tcPr>
          <w:p>
            <w:r>
              <w:rPr>
                <w:sz w:val="17"/>
              </w:rPr>
              <w:t>Motor WSAA/WSFEv1 ARCA + SQLite WAL + Asistente de Cotización Multiproveedor</w:t>
            </w:r>
          </w:p>
        </w:tc>
        <w:tc>
          <w:tcPr>
            <w:tcW w:type="dxa" w:w="1958"/>
            <w:shd w:fill="F8FAFC"/>
          </w:tcPr>
          <w:p>
            <w:r>
              <w:rPr>
                <w:sz w:val="17"/>
              </w:rPr>
              <w:t>Moderado (Transaccional Comercial)</w:t>
            </w:r>
          </w:p>
        </w:tc>
        <w:tc>
          <w:tcPr>
            <w:tcW w:type="dxa" w:w="1958"/>
            <w:shd w:fill="F8FAFC"/>
          </w:tcPr>
          <w:p>
            <w:r>
              <w:rPr>
                <w:sz w:val="17"/>
              </w:rPr>
              <w:t>Fórmula comercial determinística inmutable (Costo / 0.70), validación de CUIT contra padrón oficial y emisión con Código de Autorización Electrónico (CAE) oficial de ARCA.</w:t>
            </w:r>
          </w:p>
        </w:tc>
      </w:tr>
    </w:tbl>
    <w:p/>
    <w:p>
      <w:pPr>
        <w:pStyle w:val="Heading1"/>
      </w:pPr>
      <w:r>
        <w:rPr>
          <w:color w:val="1E293B"/>
          <w:sz w:val="26"/>
        </w:rPr>
        <w:t>2. POLÍTICA DE PROTECCIÓN DE DATOS Y ANTI-CONTAMINACIÓN DE CONTEXTO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Aislamiento Multi-Cliente: Los datos fiscales, contables y comerciales de cada cliente (Hormimac, clientes de facturación, etc.) residen en estructuras aisladas y jamás se utilizan para entrenar modelos públicos de terceros.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Sanitización contra Prompt Injection: Todo contenido externo (correos entrantes, sitios web auditados, respuestas de APIs de terceros) es tratado como dato no confiable (Untrusted Input) y procesado mediante parsers estructurados antes de interactuar con herramientas del sistema.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ELABORÓ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REVISÓ (AUDITORÍA INTERNA)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APROBÓ (DIRECCIÓN GENERAL)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Comité de Ingeniería &amp; Arquitectura IA</w:t>
              <w:br/>
              <w:t>ThinkConnect IA</w:t>
              <w:br/>
              <w:t>Fecha: 15/10/2026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Unidad de Aseguramiento de Calidad (QA)</w:t>
              <w:br/>
              <w:t>ThinkConnect IA</w:t>
              <w:br/>
              <w:t>Fecha: 15/10/2026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Carlos Ferro</w:t>
              <w:br/>
              <w:t>Director de Innovación y Arquitectura Tecnológica</w:t>
              <w:br/>
              <w:t>ThinkConnect IA — www.thinkconnect.com.ar</w:t>
              <w:br/>
              <w:t>carlos@thinkconnect.com.ar | Tel: 261 418-6751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