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880"/>
            <w:vMerge w:val="restart"/>
          </w:tcPr>
          <w:p>
            <w:r>
              <w:rPr>
                <w:b/>
                <w:sz w:val="28"/>
              </w:rPr>
              <w:t>ThinkConnect IA</w:t>
            </w:r>
          </w:p>
        </w:tc>
        <w:tc>
          <w:tcPr>
            <w:tcW w:type="dxa" w:w="4752"/>
            <w:vMerge w:val="restart"/>
          </w:tcPr>
          <w:p>
            <w:pPr>
              <w:jc w:val="center"/>
            </w:pPr>
            <w:r>
              <w:rPr>
                <w:b/>
                <w:color w:val="475569"/>
                <w:sz w:val="17"/>
              </w:rPr>
              <w:t>SISTEMA INTEGRADO DE GESTIÓN DE CALIDAD Y GOBERNANZA IA</w:t>
              <w:br/>
              <w:t>(ISO 9001:2015 • ISO/IEC 42001:2023 • ISO/IEC 29110)</w:t>
              <w:br/>
            </w:r>
            <w:r>
              <w:rPr>
                <w:b/>
                <w:color w:val="0F172A"/>
                <w:sz w:val="22"/>
              </w:rPr>
              <w:t>PROCEDIMIENTO DE INGENIERÍA DE SOFTWARE Y AGENTES IA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Código: SGC-AIMS-PRO-001</w:t>
              <w:br/>
              <w:t>Versión: 1.0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4752"/>
            <w:vMerge/>
          </w:tcPr>
          <w:p/>
        </w:tc>
        <w:tc>
          <w:tcPr>
            <w:tcW w:type="dxa" w:w="2160"/>
          </w:tcPr>
          <w:p>
            <w:r>
              <w:rPr>
                <w:sz w:val="17"/>
              </w:rPr>
              <w:t>Vigencia: 15/10/2026</w:t>
              <w:br/>
              <w:t>Estado: APROBADO</w:t>
            </w:r>
          </w:p>
        </w:tc>
      </w:tr>
    </w:tbl>
    <w:p/>
    <w:p>
      <w:pPr>
        <w:pStyle w:val="Heading1"/>
      </w:pPr>
      <w:r>
        <w:rPr>
          <w:color w:val="1E293B"/>
          <w:sz w:val="26"/>
        </w:rPr>
        <w:t>1. PROPÓSITO Y ESTÁNDAR DE REFERENCIA (ISO/IEC 29110 + ISO/IEC 5338)</w:t>
      </w:r>
    </w:p>
    <w:p>
      <w:pPr>
        <w:spacing w:after="120"/>
      </w:pPr>
      <w:r>
        <w:rPr>
          <w:rFonts w:ascii="Calibri" w:hAnsi="Calibri"/>
          <w:sz w:val="20"/>
        </w:rPr>
        <w:t>Establecer el procedimiento estandarizado para la gestión de proyectos (PM) y la ingeniería de software y sistemas de Inteligencia Artificial (SI) en ThinkConnect IA, asegurando que todo producto o servicio cumpla con los requisitos funcionales, de seguridad, accesibilidad y gobernanza algorítmica antes de su puesta en producción.</w:t>
      </w:r>
    </w:p>
    <w:p>
      <w:pPr>
        <w:pStyle w:val="Heading1"/>
      </w:pPr>
      <w:r>
        <w:rPr>
          <w:color w:val="1E293B"/>
          <w:sz w:val="26"/>
        </w:rPr>
        <w:t>2. FASES DEL CICLO DE VIDA DE INGENIERÍA (6 ETAPAS OBLIGATORIAS)</w:t>
      </w:r>
    </w:p>
    <w:p>
      <w:pPr>
        <w:spacing w:after="120"/>
      </w:pPr>
      <w:r>
        <w:rPr>
          <w:rFonts w:ascii="Calibri" w:hAnsi="Calibri"/>
          <w:sz w:val="20"/>
        </w:rPr>
        <w:t>Todo desarrollo nuevo, módulo SaaS, automatización fiscal o agente autónomo atraviesa las siguientes 6 fases con sus respectivos registros de evidencia: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E293B"/>
          </w:tcPr>
          <w:p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2448"/>
            <w:shd w:fill="1E293B"/>
          </w:tcPr>
          <w:p>
            <w:r>
              <w:rPr>
                <w:b/>
                <w:color w:val="FFFFFF"/>
                <w:sz w:val="18"/>
              </w:rPr>
              <w:t>Actividades Obligatorias</w:t>
            </w:r>
          </w:p>
        </w:tc>
        <w:tc>
          <w:tcPr>
            <w:tcW w:type="dxa" w:w="2448"/>
            <w:shd w:fill="1E293B"/>
          </w:tcPr>
          <w:p>
            <w:r>
              <w:rPr>
                <w:b/>
                <w:color w:val="FFFFFF"/>
                <w:sz w:val="18"/>
              </w:rPr>
              <w:t>Controles Técnicos Aplicados</w:t>
            </w:r>
          </w:p>
        </w:tc>
        <w:tc>
          <w:tcPr>
            <w:tcW w:type="dxa" w:w="2448"/>
            <w:shd w:fill="1E293B"/>
          </w:tcPr>
          <w:p>
            <w:r>
              <w:rPr>
                <w:b/>
                <w:color w:val="FFFFFF"/>
                <w:sz w:val="18"/>
              </w:rPr>
              <w:t>Evidencia / Entregable Registrado</w:t>
            </w:r>
          </w:p>
        </w:tc>
      </w:tr>
      <w:tr>
        <w:tc>
          <w:tcPr>
            <w:tcW w:type="dxa" w:w="2448"/>
            <w:shd w:fill="FFFFFF"/>
          </w:tcPr>
          <w:p>
            <w:r>
              <w:rPr>
                <w:sz w:val="17"/>
              </w:rPr>
              <w:t>F1. Relevamiento y Especificación</w:t>
            </w:r>
          </w:p>
        </w:tc>
        <w:tc>
          <w:tcPr>
            <w:tcW w:type="dxa" w:w="2448"/>
            <w:shd w:fill="FFFFFF"/>
          </w:tcPr>
          <w:p>
            <w:r>
              <w:rPr>
                <w:sz w:val="17"/>
              </w:rPr>
              <w:t>Análisis de requerimientos del cliente, alcance funcional, normativa aplicable (ARCA, Ley 25.326, pliegos) y evaluación preliminar de riesgo IA.</w:t>
            </w:r>
          </w:p>
        </w:tc>
        <w:tc>
          <w:tcPr>
            <w:tcW w:type="dxa" w:w="2448"/>
            <w:shd w:fill="FFFFFF"/>
          </w:tcPr>
          <w:p>
            <w:r>
              <w:rPr>
                <w:sz w:val="17"/>
              </w:rPr>
              <w:t>Candado de Alcance Estricto (Strict Scope Lock) y definición de criterios de aceptación.</w:t>
            </w:r>
          </w:p>
        </w:tc>
        <w:tc>
          <w:tcPr>
            <w:tcW w:type="dxa" w:w="2448"/>
            <w:shd w:fill="FFFFFF"/>
          </w:tcPr>
          <w:p>
            <w:r>
              <w:rPr>
                <w:sz w:val="17"/>
              </w:rPr>
              <w:t>Propuesta Técnica / Presupuesto Oficial / Especificación en PROJECT.md.</w:t>
            </w:r>
          </w:p>
        </w:tc>
      </w:tr>
      <w:tr>
        <w:tc>
          <w:tcPr>
            <w:tcW w:type="dxa" w:w="2448"/>
            <w:shd w:fill="F8FAFC"/>
          </w:tcPr>
          <w:p>
            <w:r>
              <w:rPr>
                <w:sz w:val="17"/>
              </w:rPr>
              <w:t>F2. Diseño y Arquitectura</w:t>
            </w:r>
          </w:p>
        </w:tc>
        <w:tc>
          <w:tcPr>
            <w:tcW w:type="dxa" w:w="2448"/>
            <w:shd w:fill="F8FAFC"/>
          </w:tcPr>
          <w:p>
            <w:r>
              <w:rPr>
                <w:sz w:val="17"/>
              </w:rPr>
              <w:t>Diseño de base de datos relacional (Piso 4), contratos de API/WebMCP, selección de modelos IA y diseño de interfaz (UX/UI).</w:t>
            </w:r>
          </w:p>
        </w:tc>
        <w:tc>
          <w:tcPr>
            <w:tcW w:type="dxa" w:w="2448"/>
            <w:shd w:fill="F8FAFC"/>
          </w:tcPr>
          <w:p>
            <w:r>
              <w:rPr>
                <w:sz w:val="17"/>
              </w:rPr>
              <w:t>Separación de datos transaccionales vs. contexto LLM; diseño con Cambio Mínimo (Minimal Diff).</w:t>
            </w:r>
          </w:p>
        </w:tc>
        <w:tc>
          <w:tcPr>
            <w:tcW w:type="dxa" w:w="2448"/>
            <w:shd w:fill="F8FAFC"/>
          </w:tcPr>
          <w:p>
            <w:r>
              <w:rPr>
                <w:sz w:val="17"/>
              </w:rPr>
              <w:t>Diagramas de arquitectura, esquemas SQL y configuración de entorno.</w:t>
            </w:r>
          </w:p>
        </w:tc>
      </w:tr>
      <w:tr>
        <w:tc>
          <w:tcPr>
            <w:tcW w:type="dxa" w:w="2448"/>
            <w:shd w:fill="FFFFFF"/>
          </w:tcPr>
          <w:p>
            <w:r>
              <w:rPr>
                <w:sz w:val="17"/>
              </w:rPr>
              <w:t>F3. Construcción y Codificación</w:t>
            </w:r>
          </w:p>
        </w:tc>
        <w:tc>
          <w:tcPr>
            <w:tcW w:type="dxa" w:w="2448"/>
            <w:shd w:fill="FFFFFF"/>
          </w:tcPr>
          <w:p>
            <w:r>
              <w:rPr>
                <w:sz w:val="17"/>
              </w:rPr>
              <w:t>Desarrollo en entorno controlado (Python Z:\.venv, FastAPI, Node.js, Flutter), integración de SDKs oficiales y sanitización de entradas.</w:t>
            </w:r>
          </w:p>
        </w:tc>
        <w:tc>
          <w:tcPr>
            <w:tcW w:type="dxa" w:w="2448"/>
            <w:shd w:fill="FFFFFF"/>
          </w:tcPr>
          <w:p>
            <w:r>
              <w:rPr>
                <w:sz w:val="17"/>
              </w:rPr>
              <w:t>Control de versiones en Git, prohibición de credenciales expuestas (.env protegidos) y tipado estricto.</w:t>
            </w:r>
          </w:p>
        </w:tc>
        <w:tc>
          <w:tcPr>
            <w:tcW w:type="dxa" w:w="2448"/>
            <w:shd w:fill="FFFFFF"/>
          </w:tcPr>
          <w:p>
            <w:r>
              <w:rPr>
                <w:sz w:val="17"/>
              </w:rPr>
              <w:t>Commits en repositorio Git y scripts modulares documentados.</w:t>
            </w:r>
          </w:p>
        </w:tc>
      </w:tr>
      <w:tr>
        <w:tc>
          <w:tcPr>
            <w:tcW w:type="dxa" w:w="2448"/>
            <w:shd w:fill="F8FAFC"/>
          </w:tcPr>
          <w:p>
            <w:r>
              <w:rPr>
                <w:sz w:val="17"/>
              </w:rPr>
              <w:t>F4. Verificación, QA y Auditoría Web/IA</w:t>
            </w:r>
          </w:p>
        </w:tc>
        <w:tc>
          <w:tcPr>
            <w:tcW w:type="dxa" w:w="2448"/>
            <w:shd w:fill="F8FAFC"/>
          </w:tcPr>
          <w:p>
            <w:r>
              <w:rPr>
                <w:sz w:val="17"/>
              </w:rPr>
              <w:t>Pruebas unitarias, validación de esquemas JSON, pruebas de regresión visual y auditoría de seguridad/accesibilidad (audit360 / OWASP / WCAG 2.2).</w:t>
            </w:r>
          </w:p>
        </w:tc>
        <w:tc>
          <w:tcPr>
            <w:tcW w:type="dxa" w:w="2448"/>
            <w:shd w:fill="F8FAFC"/>
          </w:tcPr>
          <w:p>
            <w:r>
              <w:rPr>
                <w:sz w:val="17"/>
              </w:rPr>
              <w:t>Pruebas de estrés contra alucinaciones, validación matemática determinística y verificación de cabeceras HTTP.</w:t>
            </w:r>
          </w:p>
        </w:tc>
        <w:tc>
          <w:tcPr>
            <w:tcW w:type="dxa" w:w="2448"/>
            <w:shd w:fill="F8FAFC"/>
          </w:tcPr>
          <w:p>
            <w:r>
              <w:rPr>
                <w:sz w:val="17"/>
              </w:rPr>
              <w:t>Reporte de QA, capturas de validación y logs de prueba exitosa.</w:t>
            </w:r>
          </w:p>
        </w:tc>
      </w:tr>
      <w:tr>
        <w:tc>
          <w:tcPr>
            <w:tcW w:type="dxa" w:w="2448"/>
            <w:shd w:fill="FFFFFF"/>
          </w:tcPr>
          <w:p>
            <w:r>
              <w:rPr>
                <w:sz w:val="17"/>
              </w:rPr>
              <w:t>F5. Despliegue y Documentación Espejo</w:t>
            </w:r>
          </w:p>
        </w:tc>
        <w:tc>
          <w:tcPr>
            <w:tcW w:type="dxa" w:w="2448"/>
            <w:shd w:fill="FFFFFF"/>
          </w:tcPr>
          <w:p>
            <w:r>
              <w:rPr>
                <w:sz w:val="17"/>
              </w:rPr>
              <w:t>Puesta en producción (VPS Linux vía systemd/Docker o Server_IA local) y actualización simultánea de la documentación técnica.</w:t>
            </w:r>
          </w:p>
        </w:tc>
        <w:tc>
          <w:tcPr>
            <w:tcW w:type="dxa" w:w="2448"/>
            <w:shd w:fill="FFFFFF"/>
          </w:tcPr>
          <w:p>
            <w:r>
              <w:rPr>
                <w:sz w:val="17"/>
              </w:rPr>
              <w:t>Sincronización obligatoria en espejo entre Z:\Proyectos\&lt;Proyecto&gt; y Z:\Documentacion\&lt;Proyecto&gt;.</w:t>
            </w:r>
          </w:p>
        </w:tc>
        <w:tc>
          <w:tcPr>
            <w:tcW w:type="dxa" w:w="2448"/>
            <w:shd w:fill="FFFFFF"/>
          </w:tcPr>
          <w:p>
            <w:r>
              <w:rPr>
                <w:sz w:val="17"/>
              </w:rPr>
              <w:t>Acta/Notificación de puesta en marcha y README/PROJECT.md actualizados.</w:t>
            </w:r>
          </w:p>
        </w:tc>
      </w:tr>
      <w:tr>
        <w:tc>
          <w:tcPr>
            <w:tcW w:type="dxa" w:w="2448"/>
            <w:shd w:fill="F8FAFC"/>
          </w:tcPr>
          <w:p>
            <w:r>
              <w:rPr>
                <w:sz w:val="17"/>
              </w:rPr>
              <w:t>F6. Operación, Monitoreo y Backup</w:t>
            </w:r>
          </w:p>
        </w:tc>
        <w:tc>
          <w:tcPr>
            <w:tcW w:type="dxa" w:w="2448"/>
            <w:shd w:fill="F8FAFC"/>
          </w:tcPr>
          <w:p>
            <w:r>
              <w:rPr>
                <w:sz w:val="17"/>
              </w:rPr>
              <w:t>Monitoreo de salud de contenedores, rotación de logs, atención de soporte y resguardo automatizado en almacenamiento dedicado.</w:t>
            </w:r>
          </w:p>
        </w:tc>
        <w:tc>
          <w:tcPr>
            <w:tcW w:type="dxa" w:w="2448"/>
            <w:shd w:fill="F8FAFC"/>
          </w:tcPr>
          <w:p>
            <w:r>
              <w:rPr>
                <w:sz w:val="17"/>
              </w:rPr>
              <w:t>Backups centralizados en \\Server_ia\e y verificación periódica de tareas programadas y Veeam.</w:t>
            </w:r>
          </w:p>
        </w:tc>
        <w:tc>
          <w:tcPr>
            <w:tcW w:type="dxa" w:w="2448"/>
            <w:shd w:fill="F8FAFC"/>
          </w:tcPr>
          <w:p>
            <w:r>
              <w:rPr>
                <w:sz w:val="17"/>
              </w:rPr>
              <w:t>Planillas de liquidación/soporte y registros de backup verificado.</w:t>
            </w:r>
          </w:p>
        </w:tc>
      </w:tr>
    </w:tbl>
    <w:p/>
    <w:p>
      <w:pPr>
        <w:pStyle w:val="Heading1"/>
      </w:pPr>
      <w:r>
        <w:rPr>
          <w:color w:val="1E293B"/>
          <w:sz w:val="26"/>
        </w:rPr>
        <w:t>3. GESTIÓN DE CAMBIOS EN PRODUCCIÓN Y ROLLBACK</w:t>
      </w:r>
    </w:p>
    <w:p>
      <w:pPr>
        <w:pStyle w:val="ListBullet"/>
        <w:spacing w:after="120"/>
      </w:pPr>
      <w:r>
        <w:rPr>
          <w:rFonts w:ascii="Calibri" w:hAnsi="Calibri"/>
          <w:sz w:val="20"/>
        </w:rPr>
        <w:t>Regla del Cambio Mínimo (Minimal Diff Rule): Toda modificación sobre sistemas productivos se limita estrictamente al componente afectado, prohibiéndose alteraciones colaterales en DNS, proxy inverso Nginx o esquemas de base de datos no solicitados.</w:t>
      </w:r>
    </w:p>
    <w:p>
      <w:pPr>
        <w:pStyle w:val="ListBullet"/>
        <w:spacing w:after="120"/>
      </w:pPr>
      <w:r>
        <w:rPr>
          <w:rFonts w:ascii="Calibri" w:hAnsi="Calibri"/>
          <w:sz w:val="20"/>
        </w:rPr>
        <w:t>Respaldo Pre-Cambio: Antes de aplicar migraciones de esquema o actualizaciones críticas en bases SQLite/PostgreSQL, se genera una instantánea verificada para garantizar retorno inmediato (Rollback &lt; 5 minutos) ante cualquier anomalía.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F1F5F9"/>
          </w:tcPr>
          <w:p>
            <w:r>
              <w:rPr>
                <w:b/>
                <w:sz w:val="17"/>
              </w:rPr>
              <w:t>ELABORÓ</w:t>
            </w:r>
          </w:p>
        </w:tc>
        <w:tc>
          <w:tcPr>
            <w:tcW w:type="dxa" w:w="3264"/>
            <w:shd w:fill="F1F5F9"/>
          </w:tcPr>
          <w:p>
            <w:r>
              <w:rPr>
                <w:b/>
                <w:sz w:val="17"/>
              </w:rPr>
              <w:t>REVISÓ (AUDITORÍA INTERNA)</w:t>
            </w:r>
          </w:p>
        </w:tc>
        <w:tc>
          <w:tcPr>
            <w:tcW w:type="dxa" w:w="3264"/>
            <w:shd w:fill="F1F5F9"/>
          </w:tcPr>
          <w:p>
            <w:r>
              <w:rPr>
                <w:b/>
                <w:sz w:val="17"/>
              </w:rPr>
              <w:t>APROBÓ (DIRECCIÓN GENERAL)</w:t>
            </w:r>
          </w:p>
        </w:tc>
      </w:tr>
      <w:tr>
        <w:tc>
          <w:tcPr>
            <w:tcW w:type="dxa" w:w="3264"/>
          </w:tcPr>
          <w:p>
            <w:r>
              <w:rPr>
                <w:sz w:val="17"/>
              </w:rPr>
              <w:t>Comité de Ingeniería &amp; Arquitectura IA</w:t>
              <w:br/>
              <w:t>ThinkConnect IA</w:t>
              <w:br/>
              <w:t>Fecha: 15/10/2026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Unidad de Aseguramiento de Calidad (QA)</w:t>
              <w:br/>
              <w:t>ThinkConnect IA</w:t>
              <w:br/>
              <w:t>Fecha: 15/10/2026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Carlos Ferro</w:t>
              <w:br/>
              <w:t>Director de Innovación y Arquitectura Tecnológica</w:t>
              <w:br/>
              <w:t>ThinkConnect IA — www.thinkconnect.com.ar</w:t>
              <w:br/>
              <w:t>carlos@thinkconnect.com.ar | Tel: 261 418-6751</w:t>
            </w:r>
          </w:p>
        </w:tc>
      </w:tr>
    </w:tbl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