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Volatility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30日历史波动率</w:t>
            </w:r>
          </w:p>
        </w:tc>
        <w:tc>
          <w:tcPr>
            <w:tcW w:type="dxa" w:w="2160"/>
          </w:tcPr>
          <w:p>
            <w:r>
              <w:t>60日历史波动率</w:t>
            </w:r>
          </w:p>
        </w:tc>
        <w:tc>
          <w:tcPr>
            <w:tcW w:type="dxa" w:w="2160"/>
          </w:tcPr>
          <w:p>
            <w:r>
              <w:t>90日历史波动率</w:t>
            </w:r>
          </w:p>
        </w:tc>
      </w:tr>
      <w:tr>
        <w:tc>
          <w:tcPr>
            <w:tcW w:type="dxa" w:w="2160"/>
          </w:tcPr>
          <w:p>
            <w:r>
              <w:t>中证500指数</w:t>
            </w:r>
          </w:p>
        </w:tc>
        <w:tc>
          <w:tcPr>
            <w:tcW w:type="dxa" w:w="2160"/>
          </w:tcPr>
          <w:p>
            <w:r>
              <w:t>21.43%</w:t>
            </w:r>
          </w:p>
        </w:tc>
        <w:tc>
          <w:tcPr>
            <w:tcW w:type="dxa" w:w="2160"/>
          </w:tcPr>
          <w:p>
            <w:r>
              <w:t>21.66%</w:t>
            </w:r>
          </w:p>
        </w:tc>
        <w:tc>
          <w:tcPr>
            <w:tcW w:type="dxa" w:w="2160"/>
          </w:tcPr>
          <w:p>
            <w:r>
              <w:t>35.39%</w:t>
            </w:r>
          </w:p>
        </w:tc>
      </w:tr>
      <w:tr>
        <w:tc>
          <w:tcPr>
            <w:tcW w:type="dxa" w:w="2160"/>
          </w:tcPr>
          <w:p>
            <w:r>
              <w:t>沪深300指数</w:t>
            </w:r>
          </w:p>
        </w:tc>
        <w:tc>
          <w:tcPr>
            <w:tcW w:type="dxa" w:w="2160"/>
          </w:tcPr>
          <w:p>
            <w:r>
              <w:t>14.35%</w:t>
            </w:r>
          </w:p>
        </w:tc>
        <w:tc>
          <w:tcPr>
            <w:tcW w:type="dxa" w:w="2160"/>
          </w:tcPr>
          <w:p>
            <w:r>
              <w:t>13.31%</w:t>
            </w:r>
          </w:p>
        </w:tc>
        <w:tc>
          <w:tcPr>
            <w:tcW w:type="dxa" w:w="2160"/>
          </w:tcPr>
          <w:p>
            <w:r>
              <w:t>17.21%</w:t>
            </w:r>
          </w:p>
        </w:tc>
      </w:tr>
      <w:tr>
        <w:tc>
          <w:tcPr>
            <w:tcW w:type="dxa" w:w="2160"/>
          </w:tcPr>
          <w:p>
            <w:r>
              <w:t>上证50指数</w:t>
            </w:r>
          </w:p>
        </w:tc>
        <w:tc>
          <w:tcPr>
            <w:tcW w:type="dxa" w:w="2160"/>
          </w:tcPr>
          <w:p>
            <w:r>
              <w:t>13.08%</w:t>
            </w:r>
          </w:p>
        </w:tc>
        <w:tc>
          <w:tcPr>
            <w:tcW w:type="dxa" w:w="2160"/>
          </w:tcPr>
          <w:p>
            <w:r>
              <w:t>11.16%</w:t>
            </w:r>
          </w:p>
        </w:tc>
        <w:tc>
          <w:tcPr>
            <w:tcW w:type="dxa" w:w="2160"/>
          </w:tcPr>
          <w:p>
            <w:r>
              <w:t>14.88%</w:t>
            </w:r>
          </w:p>
        </w:tc>
      </w:tr>
      <w:tr>
        <w:tc>
          <w:tcPr>
            <w:tcW w:type="dxa" w:w="2160"/>
          </w:tcPr>
          <w:p>
            <w:r>
              <w:t>中证1000指数</w:t>
            </w:r>
          </w:p>
        </w:tc>
        <w:tc>
          <w:tcPr>
            <w:tcW w:type="dxa" w:w="2160"/>
          </w:tcPr>
          <w:p>
            <w:r>
              <w:t>28.25%</w:t>
            </w:r>
          </w:p>
        </w:tc>
        <w:tc>
          <w:tcPr>
            <w:tcW w:type="dxa" w:w="2160"/>
          </w:tcPr>
          <w:p>
            <w:r>
              <w:t>29.49%</w:t>
            </w:r>
          </w:p>
        </w:tc>
        <w:tc>
          <w:tcPr>
            <w:tcW w:type="dxa" w:w="2160"/>
          </w:tcPr>
          <w:p>
            <w:r>
              <w:t>43.94%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