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cs="Times New Roman" w:eastAsia="Times New Roman"/>
          <w:b/>
          <w:i w:val="0"/>
          <w:sz w:val="24"/>
        </w:rPr>
        <w:t>LCDO. CARLOS M. SANTINI RODRÍGUEZ</w:t>
      </w:r>
    </w:p>
    <w:p>
      <w:pPr>
        <w:spacing w:after="0" w:line="240" w:lineRule="auto"/>
        <w:jc w:val="center"/>
      </w:pPr>
      <w:r>
        <w:rPr>
          <w:rFonts w:ascii="Times New Roman" w:hAnsi="Times New Roman" w:cs="Times New Roman" w:eastAsia="Times New Roman"/>
          <w:b/>
          <w:i w:val="0"/>
          <w:sz w:val="24"/>
        </w:rPr>
        <w:t>ATTORNEY AT LAW</w:t>
      </w:r>
    </w:p>
    <w:p>
      <w:pPr>
        <w:spacing w:after="0" w:line="240" w:lineRule="auto"/>
        <w:jc w:val="center"/>
      </w:pPr>
      <w:r>
        <w:rPr>
          <w:rFonts w:ascii="Times New Roman" w:hAnsi="Times New Roman" w:cs="Times New Roman" w:eastAsia="Times New Roman"/>
          <w:b w:val="0"/>
          <w:i w:val="0"/>
          <w:sz w:val="24"/>
        </w:rPr>
        <w:t>RUA 12862 / COL. 14085</w:t>
      </w:r>
    </w:p>
    <w:p>
      <w:pPr>
        <w:spacing w:after="0" w:line="240" w:lineRule="auto"/>
        <w:jc w:val="center"/>
      </w:pPr>
      <w:r>
        <w:rPr>
          <w:rFonts w:ascii="Times New Roman" w:hAnsi="Times New Roman" w:cs="Times New Roman" w:eastAsia="Times New Roman"/>
          <w:b w:val="0"/>
          <w:i w:val="0"/>
          <w:sz w:val="24"/>
        </w:rPr>
        <w:t>PO BOX 30409 SAN JUAN, PR 00929-0544</w:t>
      </w:r>
    </w:p>
    <w:p>
      <w:pPr>
        <w:spacing w:after="0" w:line="240" w:lineRule="auto"/>
        <w:jc w:val="center"/>
      </w:pPr>
      <w:r>
        <w:rPr>
          <w:rFonts w:ascii="Times New Roman" w:hAnsi="Times New Roman" w:cs="Times New Roman" w:eastAsia="Times New Roman"/>
          <w:b w:val="0"/>
          <w:i w:val="0"/>
          <w:sz w:val="24"/>
        </w:rPr>
        <w:t>TEL. 787.636.0770</w:t>
      </w:r>
    </w:p>
    <w:p>
      <w:pPr>
        <w:spacing w:after="0" w:line="240" w:lineRule="auto"/>
        <w:jc w:val="center"/>
      </w:pPr>
      <w:r>
        <w:rPr>
          <w:rFonts w:ascii="Times New Roman" w:hAnsi="Times New Roman" w:cs="Times New Roman" w:eastAsia="Times New Roman"/>
          <w:b w:val="0"/>
          <w:i w:val="0"/>
          <w:sz w:val="24"/>
        </w:rPr>
        <w:t>CARSANTINI@GMAIL.COM</w:t>
      </w:r>
    </w:p>
    <w:p>
      <w:pPr>
        <w:spacing w:after="240" w:line="240" w:lineRule="auto"/>
        <w:jc w:val="both"/>
      </w:pPr>
    </w:p>
    <w:p>
      <w:pPr>
        <w:spacing w:after="240" w:line="240" w:lineRule="auto"/>
        <w:jc w:val="left"/>
      </w:pPr>
      <w:r>
        <w:rPr>
          <w:rFonts w:ascii="Times New Roman" w:hAnsi="Times New Roman" w:cs="Times New Roman" w:eastAsia="Times New Roman"/>
          <w:b w:val="0"/>
          <w:i w:val="0"/>
          <w:sz w:val="24"/>
        </w:rPr>
        <w:t>Vía correo electrónico [correo electrónico por confirmar]</w:t>
      </w:r>
    </w:p>
    <w:p>
      <w:pPr>
        <w:spacing w:after="240" w:line="240" w:lineRule="auto"/>
        <w:jc w:val="left"/>
      </w:pPr>
      <w:r>
        <w:rPr>
          <w:rFonts w:ascii="Times New Roman" w:hAnsi="Times New Roman" w:cs="Times New Roman" w:eastAsia="Times New Roman"/>
          <w:b w:val="0"/>
          <w:i w:val="0"/>
          <w:sz w:val="24"/>
        </w:rPr>
        <w:t>9 de septiembre de 2026</w:t>
      </w:r>
    </w:p>
    <w:p>
      <w:pPr>
        <w:spacing w:after="0" w:line="240" w:lineRule="auto"/>
        <w:jc w:val="left"/>
      </w:pPr>
      <w:r>
        <w:rPr>
          <w:rFonts w:ascii="Times New Roman" w:hAnsi="Times New Roman" w:cs="Times New Roman" w:eastAsia="Times New Roman"/>
          <w:b w:val="0"/>
          <w:i w:val="0"/>
          <w:sz w:val="24"/>
        </w:rPr>
        <w:t>Sra. Rosa Méndez Cabret</w:t>
      </w:r>
    </w:p>
    <w:p>
      <w:pPr>
        <w:spacing w:after="0" w:line="240" w:lineRule="auto"/>
        <w:jc w:val="left"/>
      </w:pPr>
      <w:r>
        <w:rPr>
          <w:rFonts w:ascii="Times New Roman" w:hAnsi="Times New Roman" w:cs="Times New Roman" w:eastAsia="Times New Roman"/>
          <w:b w:val="0"/>
          <w:i w:val="0"/>
          <w:sz w:val="24"/>
        </w:rPr>
        <w:t>Directora de Recursos Humanos</w:t>
      </w:r>
    </w:p>
    <w:p>
      <w:pPr>
        <w:spacing w:after="0" w:line="240" w:lineRule="auto"/>
        <w:jc w:val="left"/>
      </w:pPr>
      <w:r>
        <w:rPr>
          <w:rFonts w:ascii="Times New Roman" w:hAnsi="Times New Roman" w:cs="Times New Roman" w:eastAsia="Times New Roman"/>
          <w:b w:val="0"/>
          <w:i w:val="0"/>
          <w:sz w:val="24"/>
        </w:rPr>
        <w:t>Municipio de Naguabo</w:t>
      </w:r>
    </w:p>
    <w:p>
      <w:pPr>
        <w:spacing w:after="0" w:line="240" w:lineRule="auto"/>
        <w:jc w:val="left"/>
      </w:pPr>
      <w:r>
        <w:rPr>
          <w:rFonts w:ascii="Times New Roman" w:hAnsi="Times New Roman" w:cs="Times New Roman" w:eastAsia="Times New Roman"/>
          <w:b w:val="0"/>
          <w:i w:val="0"/>
          <w:sz w:val="24"/>
        </w:rPr>
        <w:t>Naguabo, Puerto Rico</w:t>
      </w:r>
    </w:p>
    <w:p>
      <w:pPr>
        <w:spacing w:after="240" w:line="240" w:lineRule="auto"/>
        <w:jc w:val="both"/>
      </w:pPr>
    </w:p>
    <w:p>
      <w:pPr>
        <w:spacing w:after="240" w:line="240" w:lineRule="auto"/>
        <w:jc w:val="left"/>
      </w:pPr>
      <w:r>
        <w:rPr>
          <w:rFonts w:ascii="Times New Roman" w:hAnsi="Times New Roman" w:cs="Times New Roman" w:eastAsia="Times New Roman"/>
          <w:b/>
          <w:i w:val="0"/>
          <w:sz w:val="24"/>
        </w:rPr>
        <w:t>CONSULTA LEGAL | CALZADO EXIGIDO A TRABAJADORES DE CAMPO, OBLIGACIÓN DE PAGO Y PROHIBICIÓN DE CHANCLETAS</w:t>
      </w:r>
    </w:p>
    <w:p>
      <w:pPr>
        <w:spacing w:after="240" w:line="240" w:lineRule="auto"/>
        <w:jc w:val="left"/>
      </w:pPr>
      <w:r>
        <w:rPr>
          <w:rFonts w:ascii="Times New Roman" w:hAnsi="Times New Roman" w:cs="Times New Roman" w:eastAsia="Times New Roman"/>
          <w:b w:val="0"/>
          <w:i w:val="0"/>
          <w:sz w:val="24"/>
        </w:rPr>
        <w:t>Estimada señora Méndez Cabret,</w:t>
      </w:r>
    </w:p>
    <w:p>
      <w:pPr>
        <w:spacing w:after="240" w:line="240" w:lineRule="auto"/>
        <w:jc w:val="both"/>
      </w:pPr>
      <w:r>
        <w:rPr>
          <w:rFonts w:ascii="Times New Roman" w:hAnsi="Times New Roman" w:cs="Times New Roman" w:eastAsia="Times New Roman"/>
          <w:b w:val="0"/>
          <w:i w:val="0"/>
          <w:sz w:val="24"/>
        </w:rPr>
        <w:t>La Oficina de Recursos Humanos del Municipio de Naguabo nos consulta sobre el calzado de los empleados que ocupan puestos de trabajador en las unidades de campo del Municipio. Según los hechos que se nos informan, el Municipio exige a esos empleados el uso de botas regulares de trabajo, no botas de seguridad con puntera ni otro calzado especializado, y algunos empleados se presentan a laborar en chancletas. Se nos pregunta, en primer lugar, si el Municipio puede exigir a esos empleados el uso de botas regulares o de calzado cerrado y prohibir el uso de chancletas; en segundo lugar, si el Municipio viene obligado a pagar ese calzado; y, en tercer lugar, cómo debe adoptarse y aplicarse la regla, incluida la consecuencia para el empleado que la incumpla. Esta opinión se emite a base del Código Municipal de Puerto Rico en su texto consolidado por la Oficina de Gerencia y Presupuesto con revisión de 21 de agosto de 2026, del Reglamento para la Administración de los Recursos Humanos del Servicio de Carrera del Municipio de Naguabo de 2025, de la especificación de la clase Trabajador, número de clase 2111, del Plan de Clasificación de Puestos para el Servicio de Carrera del Municipio, y de los textos oficiales de la Constitución, de la Ley 16-1975 y de las disposiciones federales que se citan, todos provistos por el Municipio o cotejados contra su fuente primaria. Adelantamos que la propia especificación de clase reconoce que el trabajador está expuesto a riesgos ocupacionales en tareas de campo, lo que obliga a examinar no solo la premisa de la consulta, esto es, que se trata de botas regulares, sino también el resultado probable de la evaluación de riesgos que el Municipio debe realizar. Las pocas autoridades cuyo texto no pudo cotejarse contra la fuente primaria aparecen marcadas con las leyendas [TEXTO POR VERIFICAR] o [CITA POR VERIFICAR] y deberán confirmarse antes de la distribución final del documento.</w:t>
      </w:r>
    </w:p>
    <w:p>
      <w:pPr>
        <w:spacing w:after="240" w:line="240" w:lineRule="auto"/>
        <w:jc w:val="left"/>
      </w:pPr>
      <w:r>
        <w:rPr>
          <w:rFonts w:ascii="Times New Roman" w:hAnsi="Times New Roman" w:cs="Times New Roman" w:eastAsia="Times New Roman"/>
          <w:b/>
          <w:i w:val="0"/>
          <w:sz w:val="24"/>
        </w:rPr>
        <w:t>I. Derecho aplicable</w:t>
      </w:r>
    </w:p>
    <w:p>
      <w:pPr>
        <w:spacing w:after="240" w:line="240" w:lineRule="auto"/>
        <w:jc w:val="both"/>
      </w:pPr>
      <w:r>
        <w:rPr>
          <w:rFonts w:ascii="Times New Roman" w:hAnsi="Times New Roman" w:cs="Times New Roman" w:eastAsia="Times New Roman"/>
          <w:b w:val="0"/>
          <w:i w:val="0"/>
          <w:sz w:val="24"/>
        </w:rPr>
        <w:t>El Artículo II, Sección 16 de la Constitución del Estado Libre Asociado de Puerto Rico dispone lo siguiente:</w:t>
      </w:r>
    </w:p>
    <w:p>
      <w:pPr>
        <w:spacing w:after="240" w:line="240" w:lineRule="auto"/>
        <w:ind w:left="720" w:right="720"/>
        <w:jc w:val="both"/>
      </w:pPr>
      <w:r>
        <w:rPr>
          <w:rFonts w:ascii="Times New Roman" w:hAnsi="Times New Roman" w:cs="Times New Roman" w:eastAsia="Times New Roman"/>
          <w:b w:val="0"/>
          <w:i w:val="0"/>
          <w:sz w:val="24"/>
        </w:rPr>
        <w:t xml:space="preserve">Se reconoce el derecho de todo trabajador a escoger libremente su ocupación y a renunciar a ella, a recibir igual paga por igual trabajo, a un salario mínimo razonable, </w:t>
      </w:r>
      <w:r>
        <w:rPr>
          <w:rFonts w:ascii="Times New Roman" w:hAnsi="Times New Roman" w:cs="Times New Roman" w:eastAsia="Times New Roman"/>
          <w:b/>
          <w:i w:val="0"/>
          <w:sz w:val="24"/>
        </w:rPr>
        <w:t>a protección contra riesgos para su salud o integridad personal en su trabajo o empleo</w:t>
      </w:r>
      <w:r>
        <w:rPr>
          <w:rFonts w:ascii="Times New Roman" w:hAnsi="Times New Roman" w:cs="Times New Roman" w:eastAsia="Times New Roman"/>
          <w:b w:val="0"/>
          <w:i w:val="0"/>
          <w:sz w:val="24"/>
        </w:rPr>
        <w:t>, y a una jornada ordinaria que no exceda de ocho horas de trabajo. Sólo podrá trabajarse en exceso de este límite diario, mediante compensación extraordinaria que nunca será menor de una vez y media el tipo de salario ordinario según se disponga por ley.</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Este mandato constitucional es el fundamento expreso de la Ley 16-1975 que se discute más adelante y, a la vez, del deber del Municipio, como patrono, de establecer reglas mínimas de seguridad para su personal de campo.</w:t>
      </w:r>
    </w:p>
    <w:p>
      <w:pPr>
        <w:spacing w:after="240" w:line="240" w:lineRule="auto"/>
        <w:jc w:val="both"/>
      </w:pPr>
      <w:r>
        <w:rPr>
          <w:rFonts w:ascii="Times New Roman" w:hAnsi="Times New Roman" w:cs="Times New Roman" w:eastAsia="Times New Roman"/>
          <w:b w:val="0"/>
          <w:i w:val="0"/>
          <w:sz w:val="24"/>
        </w:rPr>
        <w:t>En el ámbito federal, la Ley de Seguridad y Salud Ocupacional de 1970, "Occupational Safety and Health Act", 29 USC §§ 651 et seq., excluye a los estados y a sus subdivisiones políticas de la definición federal de patrono. El 29 USC § 652(5) dispone lo siguiente:</w:t>
      </w:r>
    </w:p>
    <w:p>
      <w:pPr>
        <w:spacing w:after="240" w:line="240" w:lineRule="auto"/>
        <w:ind w:left="720" w:right="720"/>
        <w:jc w:val="both"/>
      </w:pPr>
      <w:r>
        <w:rPr>
          <w:rFonts w:ascii="Times New Roman" w:hAnsi="Times New Roman" w:cs="Times New Roman" w:eastAsia="Times New Roman"/>
          <w:b w:val="0"/>
          <w:i w:val="0"/>
          <w:sz w:val="24"/>
        </w:rPr>
        <w:t xml:space="preserve">The term "employer" means a person engaged in a business affecting commerce who has employees, but does not include the United States (not including the United States Postal Service) </w:t>
      </w:r>
      <w:r>
        <w:rPr>
          <w:rFonts w:ascii="Times New Roman" w:hAnsi="Times New Roman" w:cs="Times New Roman" w:eastAsia="Times New Roman"/>
          <w:b/>
          <w:i w:val="0"/>
          <w:sz w:val="24"/>
        </w:rPr>
        <w:t>or any State or political subdivision of a State</w:t>
      </w:r>
      <w:r>
        <w:rPr>
          <w:rFonts w:ascii="Times New Roman" w:hAnsi="Times New Roman" w:cs="Times New Roman" w:eastAsia="Times New Roman"/>
          <w:b w:val="0"/>
          <w:i w:val="0"/>
          <w:sz w:val="24"/>
        </w:rPr>
        <w:t>.</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El 29 USC § 652(7) aclara que "[t]he term 'State' includes a State of the United States, the District of Columbia, Puerto Rico, the Virgin Islands, American Samoa, Guam, and the Trust Territory of the Pacific Islands". Por esa razón, los empleados de los municipios de Puerto Rico no están cubiertos por la agencia federal OSHA de forma directa, sino a través del plan estatal aprobado bajo el 29 USC § 667. El inciso (c) de esa sección condiciona la aprobación del plan a que este, entre otros requisitos, cumpla con los siguientes:</w:t>
      </w:r>
    </w:p>
    <w:p>
      <w:pPr>
        <w:spacing w:after="240" w:line="240" w:lineRule="auto"/>
        <w:ind w:left="720" w:right="720"/>
        <w:jc w:val="both"/>
      </w:pPr>
      <w:r>
        <w:rPr>
          <w:rFonts w:ascii="Times New Roman" w:hAnsi="Times New Roman" w:cs="Times New Roman" w:eastAsia="Times New Roman"/>
          <w:b w:val="0"/>
          <w:i w:val="0"/>
          <w:sz w:val="24"/>
        </w:rPr>
        <w:t xml:space="preserve">(2) provides for the development and enforcement of safety and health standards relating to one or more safety or health issues, which standards (and the enforcement of which standards) are or will be </w:t>
      </w:r>
      <w:r>
        <w:rPr>
          <w:rFonts w:ascii="Times New Roman" w:hAnsi="Times New Roman" w:cs="Times New Roman" w:eastAsia="Times New Roman"/>
          <w:b/>
          <w:i w:val="0"/>
          <w:sz w:val="24"/>
        </w:rPr>
        <w:t>at least as effective</w:t>
      </w:r>
      <w:r>
        <w:rPr>
          <w:rFonts w:ascii="Times New Roman" w:hAnsi="Times New Roman" w:cs="Times New Roman" w:eastAsia="Times New Roman"/>
          <w:b w:val="0"/>
          <w:i w:val="0"/>
          <w:sz w:val="24"/>
        </w:rPr>
        <w:t xml:space="preserve"> in providing safe and healthful employment and places of employment as the standards promulgated under section 655 of this title which relate to the same issues [...] (6) contains satisfactory assurances that such State will, to the extent permitted by its law, establish and maintain an effective and comprehensive occupational safety and health program </w:t>
      </w:r>
      <w:r>
        <w:rPr>
          <w:rFonts w:ascii="Times New Roman" w:hAnsi="Times New Roman" w:cs="Times New Roman" w:eastAsia="Times New Roman"/>
          <w:b/>
          <w:i w:val="0"/>
          <w:sz w:val="24"/>
        </w:rPr>
        <w:t>applicable to all employees of public agencies of the State and its political subdivisions</w:t>
      </w:r>
      <w:r>
        <w:rPr>
          <w:rFonts w:ascii="Times New Roman" w:hAnsi="Times New Roman" w:cs="Times New Roman" w:eastAsia="Times New Roman"/>
          <w:b w:val="0"/>
          <w:i w:val="0"/>
          <w:sz w:val="24"/>
        </w:rPr>
        <w:t>, which program is as effective as the standards contained in an approved plan,</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El requisito federal es, por tanto, de efectividad mínima. Un plan estatal puede imponer al patrono obligaciones más protectoras que las federales. La página oficial del plan estatal de Puerto Rico en OSHA informa que el plan cubre a los trabajadores del sector privado y a los de los gobiernos estatal y locales, y que PR OSHA ha adoptado de forma idéntica las normas federales aplicables a esos sectores. [TEXTO POR VERIFICAR: https://www.osha.gov/stateplans/pr.]</w:t>
      </w:r>
    </w:p>
    <w:p>
      <w:pPr>
        <w:spacing w:after="240" w:line="240" w:lineRule="auto"/>
        <w:jc w:val="both"/>
      </w:pPr>
      <w:r>
        <w:rPr>
          <w:rFonts w:ascii="Times New Roman" w:hAnsi="Times New Roman" w:cs="Times New Roman" w:eastAsia="Times New Roman"/>
          <w:b w:val="0"/>
          <w:i w:val="0"/>
          <w:sz w:val="24"/>
        </w:rPr>
        <w:t>La norma federal sobre equipo de protección personal en la industria general, 29 CFR § 1910.132, establece en su inciso (d) el deber del patrono de evaluar el lugar de trabajo y de certificar por escrito esa evaluación, y regula en su inciso (h) quién paga el equipo. Los incisos pertinentes disponen lo siguiente:</w:t>
      </w:r>
    </w:p>
    <w:p>
      <w:pPr>
        <w:spacing w:after="240" w:line="240" w:lineRule="auto"/>
        <w:ind w:left="720" w:right="720"/>
        <w:jc w:val="both"/>
      </w:pPr>
      <w:r>
        <w:rPr>
          <w:rFonts w:ascii="Times New Roman" w:hAnsi="Times New Roman" w:cs="Times New Roman" w:eastAsia="Times New Roman"/>
          <w:b w:val="0"/>
          <w:i w:val="0"/>
          <w:sz w:val="24"/>
        </w:rPr>
        <w:t xml:space="preserve">(d) Hazard assessment and equipment selection. (1) </w:t>
      </w:r>
      <w:r>
        <w:rPr>
          <w:rFonts w:ascii="Times New Roman" w:hAnsi="Times New Roman" w:cs="Times New Roman" w:eastAsia="Times New Roman"/>
          <w:b/>
          <w:i w:val="0"/>
          <w:sz w:val="24"/>
        </w:rPr>
        <w:t>The employer shall assess the workplace to determine if hazards are present, or are likely to be present</w:t>
      </w:r>
      <w:r>
        <w:rPr>
          <w:rFonts w:ascii="Times New Roman" w:hAnsi="Times New Roman" w:cs="Times New Roman" w:eastAsia="Times New Roman"/>
          <w:b w:val="0"/>
          <w:i w:val="0"/>
          <w:sz w:val="24"/>
        </w:rPr>
        <w:t xml:space="preserve">, which necessitate the use of personal protective equipment (PPE). If such hazards are present, or likely to be present, the employer shall: (i) Select, and have each affected employee use, the types of PPE that will protect the affected employee from the hazards identified in the hazard assessment; (ii) Communicate selection decisions to each affected employee; and, (iii) Select PPE that properly fits each affected employee. [...] (2) The employer shall verify that the required workplace hazard assessment has been performed </w:t>
      </w:r>
      <w:r>
        <w:rPr>
          <w:rFonts w:ascii="Times New Roman" w:hAnsi="Times New Roman" w:cs="Times New Roman" w:eastAsia="Times New Roman"/>
          <w:b/>
          <w:i w:val="0"/>
          <w:sz w:val="24"/>
        </w:rPr>
        <w:t>through a written certification</w:t>
      </w:r>
      <w:r>
        <w:rPr>
          <w:rFonts w:ascii="Times New Roman" w:hAnsi="Times New Roman" w:cs="Times New Roman" w:eastAsia="Times New Roman"/>
          <w:b w:val="0"/>
          <w:i w:val="0"/>
          <w:sz w:val="24"/>
        </w:rPr>
        <w:t xml:space="preserve"> that identifies the workplace evaluated; the person certifying that the evaluation has been performed; the date(s) of the hazard assessment; and, which identifies the document as a certification of hazard assessment.</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ind w:left="720" w:right="720"/>
        <w:jc w:val="both"/>
      </w:pPr>
      <w:r>
        <w:rPr>
          <w:rFonts w:ascii="Times New Roman" w:hAnsi="Times New Roman" w:cs="Times New Roman" w:eastAsia="Times New Roman"/>
          <w:b w:val="0"/>
          <w:i w:val="0"/>
          <w:sz w:val="24"/>
        </w:rPr>
        <w:t xml:space="preserve">(h) Payment for protective equipment. (1) Except as provided by paragraphs (h)(2) through (h)(6) of this section, the protective equipment, including personal protective equipment (PPE), </w:t>
      </w:r>
      <w:r>
        <w:rPr>
          <w:rFonts w:ascii="Times New Roman" w:hAnsi="Times New Roman" w:cs="Times New Roman" w:eastAsia="Times New Roman"/>
          <w:b/>
          <w:i w:val="0"/>
          <w:sz w:val="24"/>
        </w:rPr>
        <w:t>used to comply with this part</w:t>
      </w:r>
      <w:r>
        <w:rPr>
          <w:rFonts w:ascii="Times New Roman" w:hAnsi="Times New Roman" w:cs="Times New Roman" w:eastAsia="Times New Roman"/>
          <w:b w:val="0"/>
          <w:i w:val="0"/>
          <w:sz w:val="24"/>
        </w:rPr>
        <w:t xml:space="preserve">, shall be provided by the employer at no cost to employees. (2) The employer is not required to pay for non-specialty safety-toe protective footwear (including steel-toe shoes or steel-toe boots) and non-specialty prescription safety eyewear, provided that the employer permits such items to be worn off the job-site. [...] (4) The employer is not required to pay for: (i) The logging boots required by 29 CFR 1910.266(d)(1)(v); (ii) </w:t>
      </w:r>
      <w:r>
        <w:rPr>
          <w:rFonts w:ascii="Times New Roman" w:hAnsi="Times New Roman" w:cs="Times New Roman" w:eastAsia="Times New Roman"/>
          <w:b/>
          <w:i w:val="0"/>
          <w:sz w:val="24"/>
        </w:rPr>
        <w:t>Everyday clothing, such as long-sleeve shirts, long pants, street shoes, and normal work boots</w:t>
      </w:r>
      <w:r>
        <w:rPr>
          <w:rFonts w:ascii="Times New Roman" w:hAnsi="Times New Roman" w:cs="Times New Roman" w:eastAsia="Times New Roman"/>
          <w:b w:val="0"/>
          <w:i w:val="0"/>
          <w:sz w:val="24"/>
        </w:rPr>
        <w:t xml:space="preserve">; or (iii) Ordinary clothing, skin creams, or other items, used solely for protection from weather, such as winter coats, jackets, gloves, parkas, rubber boots, hats, raincoats, ordinary sunglasses, and sunscreen. (5) The employer must pay for replacement PPE, except when the employee has lost or intentionally damaged the PPE. (6) Where an employee provides adequate protective equipment he or she owns pursuant to paragraph (b) of this section, the employer may allow the employee to use it and is not required to reimburse the employee for that equipment. </w:t>
      </w:r>
      <w:r>
        <w:rPr>
          <w:rFonts w:ascii="Times New Roman" w:hAnsi="Times New Roman" w:cs="Times New Roman" w:eastAsia="Times New Roman"/>
          <w:b/>
          <w:i w:val="0"/>
          <w:sz w:val="24"/>
        </w:rPr>
        <w:t>The employer shall not require an employee to provide or pay for his or her own PPE</w:t>
      </w:r>
      <w:r>
        <w:rPr>
          <w:rFonts w:ascii="Times New Roman" w:hAnsi="Times New Roman" w:cs="Times New Roman" w:eastAsia="Times New Roman"/>
          <w:b w:val="0"/>
          <w:i w:val="0"/>
          <w:sz w:val="24"/>
        </w:rPr>
        <w:t>, unless the PPE is excepted by paragraphs (h)(2) through (h)(5) of this section.</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Por su parte, el 29 CFR § 1910.136(a), sobre protección de los pies, dispone lo siguiente:</w:t>
      </w:r>
    </w:p>
    <w:p>
      <w:pPr>
        <w:spacing w:after="240" w:line="240" w:lineRule="auto"/>
        <w:ind w:left="720" w:right="720"/>
        <w:jc w:val="both"/>
      </w:pPr>
      <w:r>
        <w:rPr>
          <w:rFonts w:ascii="Times New Roman" w:hAnsi="Times New Roman" w:cs="Times New Roman" w:eastAsia="Times New Roman"/>
          <w:b w:val="0"/>
          <w:i w:val="0"/>
          <w:sz w:val="24"/>
        </w:rPr>
        <w:t xml:space="preserve">The employer shall ensure that each affected employee uses protective footwear </w:t>
      </w:r>
      <w:r>
        <w:rPr>
          <w:rFonts w:ascii="Times New Roman" w:hAnsi="Times New Roman" w:cs="Times New Roman" w:eastAsia="Times New Roman"/>
          <w:b/>
          <w:i w:val="0"/>
          <w:sz w:val="24"/>
        </w:rPr>
        <w:t>when working in areas where there is a danger of foot injuries due to falling or rolling objects, or objects piercing the sole</w:t>
      </w:r>
      <w:r>
        <w:rPr>
          <w:rFonts w:ascii="Times New Roman" w:hAnsi="Times New Roman" w:cs="Times New Roman" w:eastAsia="Times New Roman"/>
          <w:b w:val="0"/>
          <w:i w:val="0"/>
          <w:sz w:val="24"/>
        </w:rPr>
        <w:t>, or when the use of protective footwear will protect the affected employee from an electrical hazard, such as a static-discharge or electric-shock hazard, that remains after the employer takes other necessary protective measures.</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La Ley Federal de Normas Razonables del Trabajo de 1938, "Fair Labor Standards Act" (FLSA), 29 USC §§ 201 et seq., sí cubre a los municipios de forma directa. El 29 USC § 203(d) y (x) dispone lo siguiente:</w:t>
      </w:r>
    </w:p>
    <w:p>
      <w:pPr>
        <w:spacing w:after="240" w:line="240" w:lineRule="auto"/>
        <w:ind w:left="720" w:right="720"/>
        <w:jc w:val="both"/>
      </w:pPr>
      <w:r>
        <w:rPr>
          <w:rFonts w:ascii="Times New Roman" w:hAnsi="Times New Roman" w:cs="Times New Roman" w:eastAsia="Times New Roman"/>
          <w:b w:val="0"/>
          <w:i w:val="0"/>
          <w:sz w:val="24"/>
        </w:rPr>
        <w:t xml:space="preserve">(d) "Employer" includes any person acting directly or indirectly in the interest of an employer in relation to an employee </w:t>
      </w:r>
      <w:r>
        <w:rPr>
          <w:rFonts w:ascii="Times New Roman" w:hAnsi="Times New Roman" w:cs="Times New Roman" w:eastAsia="Times New Roman"/>
          <w:b/>
          <w:i w:val="0"/>
          <w:sz w:val="24"/>
        </w:rPr>
        <w:t>and includes a public agency</w:t>
      </w:r>
      <w:r>
        <w:rPr>
          <w:rFonts w:ascii="Times New Roman" w:hAnsi="Times New Roman" w:cs="Times New Roman" w:eastAsia="Times New Roman"/>
          <w:b w:val="0"/>
          <w:i w:val="0"/>
          <w:sz w:val="24"/>
        </w:rPr>
        <w:t xml:space="preserve">, but does not include any labor organization (other than when acting as an employer) or anyone acting in the capacity of officer or agent of such labor organization. [...] (x) "Public agency" means the Government of the United States; </w:t>
      </w:r>
      <w:r>
        <w:rPr>
          <w:rFonts w:ascii="Times New Roman" w:hAnsi="Times New Roman" w:cs="Times New Roman" w:eastAsia="Times New Roman"/>
          <w:b/>
          <w:i w:val="0"/>
          <w:sz w:val="24"/>
        </w:rPr>
        <w:t>the government of a State or political subdivision thereof</w:t>
      </w:r>
      <w:r>
        <w:rPr>
          <w:rFonts w:ascii="Times New Roman" w:hAnsi="Times New Roman" w:cs="Times New Roman" w:eastAsia="Times New Roman"/>
          <w:b w:val="0"/>
          <w:i w:val="0"/>
          <w:sz w:val="24"/>
        </w:rPr>
        <w:t>; any agency of the United States (including the United States Postal Service and Postal Regulatory Commission), a State, or a political subdivision of a State; or any interstate governmental agency.</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En cuanto a uniformes y herramientas del oficio, el 29 CFR § 531.3(d) dispone lo siguiente:</w:t>
      </w:r>
    </w:p>
    <w:p>
      <w:pPr>
        <w:spacing w:after="240" w:line="240" w:lineRule="auto"/>
        <w:ind w:left="720" w:right="720"/>
        <w:jc w:val="both"/>
      </w:pPr>
      <w:r>
        <w:rPr>
          <w:rFonts w:ascii="Times New Roman" w:hAnsi="Times New Roman" w:cs="Times New Roman" w:eastAsia="Times New Roman"/>
          <w:b w:val="0"/>
          <w:i w:val="0"/>
          <w:sz w:val="24"/>
        </w:rPr>
        <w:t xml:space="preserve">(1) The cost of furnishing "facilities" found by the Administrator to be primarily for the benefit or convenience of the employer will not be recognized as reasonable and may not therefore be included in computing wages. (2) The following is a list of facilities found by the Administrator to be primarily for the benefit of convenience of the employer. The list is intended to be illustrative rather than exclusive: (i) </w:t>
      </w:r>
      <w:r>
        <w:rPr>
          <w:rFonts w:ascii="Times New Roman" w:hAnsi="Times New Roman" w:cs="Times New Roman" w:eastAsia="Times New Roman"/>
          <w:b/>
          <w:i w:val="0"/>
          <w:sz w:val="24"/>
        </w:rPr>
        <w:t>Tools of the trade</w:t>
      </w:r>
      <w:r>
        <w:rPr>
          <w:rFonts w:ascii="Times New Roman" w:hAnsi="Times New Roman" w:cs="Times New Roman" w:eastAsia="Times New Roman"/>
          <w:b w:val="0"/>
          <w:i w:val="0"/>
          <w:sz w:val="24"/>
        </w:rPr>
        <w:t xml:space="preserve"> and other materials and services incidental to carrying on the employer's business; (ii) the cost of any construction by and for the employer; (iii) </w:t>
      </w:r>
      <w:r>
        <w:rPr>
          <w:rFonts w:ascii="Times New Roman" w:hAnsi="Times New Roman" w:cs="Times New Roman" w:eastAsia="Times New Roman"/>
          <w:b/>
          <w:i w:val="0"/>
          <w:sz w:val="24"/>
        </w:rPr>
        <w:t>the cost of uniforms and of their laundering</w:t>
      </w:r>
      <w:r>
        <w:rPr>
          <w:rFonts w:ascii="Times New Roman" w:hAnsi="Times New Roman" w:cs="Times New Roman" w:eastAsia="Times New Roman"/>
          <w:b w:val="0"/>
          <w:i w:val="0"/>
          <w:sz w:val="24"/>
        </w:rPr>
        <w:t>, where the nature of the business requires the employee to wear a uniform.</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El 29 CFR § 531.35 añade que el salario debe pagarse "free and clear" y que existe violación de la ley en toda semana en que el costo de herramientas del oficio que el patrono exija al empleado reduzca el salario mínimo o las horas extra debidas. [TEXTO POR VERIFICAR: transcribir el 29 CFR § 531.35 desde el eCFR.]</w:t>
      </w:r>
    </w:p>
    <w:p>
      <w:pPr>
        <w:spacing w:after="240" w:line="240" w:lineRule="auto"/>
        <w:jc w:val="both"/>
      </w:pPr>
      <w:r>
        <w:rPr>
          <w:rFonts w:ascii="Times New Roman" w:hAnsi="Times New Roman" w:cs="Times New Roman" w:eastAsia="Times New Roman"/>
          <w:b w:val="0"/>
          <w:i w:val="0"/>
          <w:sz w:val="24"/>
        </w:rPr>
        <w:t>En el ámbito local, la Ley Núm. 16 de 5 de agosto de 1975, según enmendada, conocida como "Ley de Seguridad y Salud en el Trabajo", invoca en su Sección 2 el Artículo II de la Carta de Derechos y declara el propósito de garantizar a cada empleado condiciones de trabajo seguras y saludables. Su Sección 3(c), 29 LPRA § 361b, define al patrono en los términos siguientes:</w:t>
      </w:r>
    </w:p>
    <w:p>
      <w:pPr>
        <w:spacing w:after="240" w:line="240" w:lineRule="auto"/>
        <w:ind w:left="720" w:right="720"/>
        <w:jc w:val="both"/>
      </w:pPr>
      <w:r>
        <w:rPr>
          <w:rFonts w:ascii="Times New Roman" w:hAnsi="Times New Roman" w:cs="Times New Roman" w:eastAsia="Times New Roman"/>
          <w:b w:val="0"/>
          <w:i w:val="0"/>
          <w:sz w:val="24"/>
        </w:rPr>
        <w:t xml:space="preserve">(c) Patrono. Significa e incluye cualquier persona, natural o jurídica y cualquier persona que represente a esa persona natural o jurídica y/o que ejerza autoridad, sobre cualquier empleo o empleado, </w:t>
      </w:r>
      <w:r>
        <w:rPr>
          <w:rFonts w:ascii="Times New Roman" w:hAnsi="Times New Roman" w:cs="Times New Roman" w:eastAsia="Times New Roman"/>
          <w:b/>
          <w:i w:val="0"/>
          <w:sz w:val="24"/>
        </w:rPr>
        <w:t>incluyendo el Gobierno del Estado Libre Asociado, las corporaciones públicas y a los municipios</w:t>
      </w:r>
      <w:r>
        <w:rPr>
          <w:rFonts w:ascii="Times New Roman" w:hAnsi="Times New Roman" w:cs="Times New Roman" w:eastAsia="Times New Roman"/>
          <w:b w:val="0"/>
          <w:i w:val="0"/>
          <w:sz w:val="24"/>
        </w:rPr>
        <w:t>.</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La Sección 4, 29 LPRA § 361c, dispone que "[e]sta ley aplicará a todo empleo realizado en cualquier sitio de empleo en el Estado Libre Asociado de Puerto Rico". La Sección 6, 29 LPRA § 361e, sobre deberes de patronos, empleados y dueños, dispone en lo pertinente lo siguiente:</w:t>
      </w:r>
    </w:p>
    <w:p>
      <w:pPr>
        <w:spacing w:after="240" w:line="240" w:lineRule="auto"/>
        <w:ind w:left="720" w:right="720"/>
        <w:jc w:val="both"/>
      </w:pPr>
      <w:r>
        <w:rPr>
          <w:rFonts w:ascii="Times New Roman" w:hAnsi="Times New Roman" w:cs="Times New Roman" w:eastAsia="Times New Roman"/>
          <w:b w:val="0"/>
          <w:i w:val="0"/>
          <w:sz w:val="24"/>
        </w:rPr>
        <w:t xml:space="preserve">(a) Cada patrono deberá proveer a cada uno de sus empleados empleo y un sitio de empleo libre de riesgos reconocidos que estén causando o que puedan causar muerte o daño físico a sus empleados. (b) Cada patrono deberá proveer y asegurar el uso de aparatos de seguridad, salvaguardias y </w:t>
      </w:r>
      <w:r>
        <w:rPr>
          <w:rFonts w:ascii="Times New Roman" w:hAnsi="Times New Roman" w:cs="Times New Roman" w:eastAsia="Times New Roman"/>
          <w:b/>
          <w:i w:val="0"/>
          <w:sz w:val="24"/>
        </w:rPr>
        <w:t>el equipo de protección personal, según sea prescrito o requerido por el Secretario, o que sea razonablemente necesario, sin costo alguno para cualquier empleado</w:t>
      </w:r>
      <w:r>
        <w:rPr>
          <w:rFonts w:ascii="Times New Roman" w:hAnsi="Times New Roman" w:cs="Times New Roman" w:eastAsia="Times New Roman"/>
          <w:b w:val="0"/>
          <w:i w:val="0"/>
          <w:sz w:val="24"/>
        </w:rPr>
        <w:t xml:space="preserve">. (c) Cada patrono deberá cumplir con las normas de seguridad y salud ocupacionales promulgadas bajo esta ley y con las reglas, reglamentos y órdenes emitidas de acuerdo a las mismas. [...] (e) Cada empleado deberá cumplir con las normas de seguridad y salud ocupacionales y con todas las reglas, reglamentos y órdenes emitidas de conformidad con esta ley, que sean aplicables a sus propios actos y conducta. (f) </w:t>
      </w:r>
      <w:r>
        <w:rPr>
          <w:rFonts w:ascii="Times New Roman" w:hAnsi="Times New Roman" w:cs="Times New Roman" w:eastAsia="Times New Roman"/>
          <w:b/>
          <w:i w:val="0"/>
          <w:sz w:val="24"/>
        </w:rPr>
        <w:t>Cada empleado deberá usar y cuidar el equipo de protección personal suministrádole por su patrono</w:t>
      </w:r>
      <w:r>
        <w:rPr>
          <w:rFonts w:ascii="Times New Roman" w:hAnsi="Times New Roman" w:cs="Times New Roman" w:eastAsia="Times New Roman"/>
          <w:b w:val="0"/>
          <w:i w:val="0"/>
          <w:sz w:val="24"/>
        </w:rPr>
        <w:t>. (g) Ningún empleado deberá remover, quitar, damnificar, destruir, sustraer, o dejar de usar cualquier aparato de seguridad o salvaguardia que haya sido suministrado o provisto para usarse en cualquier empleo o sitio de empleo, [...] ni podrá dejar de, ni descuidarse en hacer, todo aquello que sea razonablemente necesario para proteger la seguridad y la vida de él mismo o de otros empleados. El incumplimiento con este inciso por parte del empleado no relevará al patrono de sus deberes bajo esta ley.</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La Sección 8(a), 29 LPRA § 361g, faculta al Secretario del Trabajo y Recursos Humanos a adoptar, "a su discreción, cualquier norma federal establecida, o enmienda a la misma, en todo o en parte, según sea aplicable a las condiciones de trabajo en el Estado Libre Asociado de Puerto Rico, y que él determine garantizará la máxima protección a la seguridad y salud de los empleados afectados". La adopción de las normas federales es, por tanto, discrecional y selectiva, y no desplaza el deber estatutario de la Sección 6(b).</w:t>
      </w:r>
    </w:p>
    <w:p>
      <w:pPr>
        <w:spacing w:after="240" w:line="240" w:lineRule="auto"/>
        <w:jc w:val="both"/>
      </w:pPr>
      <w:r>
        <w:rPr>
          <w:rFonts w:ascii="Times New Roman" w:hAnsi="Times New Roman" w:cs="Times New Roman" w:eastAsia="Times New Roman"/>
          <w:b w:val="0"/>
          <w:i w:val="0"/>
          <w:sz w:val="24"/>
        </w:rPr>
        <w:t>La Ley 180-1998, según enmendada, conocida como "Ley de Salario Mínimo, Vacaciones y Licencia por Enfermedad de Puerto Rico", contiene una disposición sobre uso de uniformes, codificada en 29 LPRA § 250e, que dispone lo siguiente:</w:t>
      </w:r>
    </w:p>
    <w:p>
      <w:pPr>
        <w:spacing w:after="240" w:line="240" w:lineRule="auto"/>
        <w:ind w:left="720" w:right="720"/>
        <w:jc w:val="both"/>
      </w:pPr>
      <w:r>
        <w:rPr>
          <w:rFonts w:ascii="Times New Roman" w:hAnsi="Times New Roman" w:cs="Times New Roman" w:eastAsia="Times New Roman"/>
          <w:b w:val="0"/>
          <w:i w:val="0"/>
          <w:sz w:val="24"/>
        </w:rPr>
        <w:t xml:space="preserve">[TEXTO POR VERIFICAR] Todo patrono que </w:t>
      </w:r>
      <w:r>
        <w:rPr>
          <w:rFonts w:ascii="Times New Roman" w:hAnsi="Times New Roman" w:cs="Times New Roman" w:eastAsia="Times New Roman"/>
          <w:b/>
          <w:i w:val="0"/>
          <w:sz w:val="24"/>
        </w:rPr>
        <w:t>requiera a sus empleados el uso de uniformes</w:t>
      </w:r>
      <w:r>
        <w:rPr>
          <w:rFonts w:ascii="Times New Roman" w:hAnsi="Times New Roman" w:cs="Times New Roman" w:eastAsia="Times New Roman"/>
          <w:b w:val="0"/>
          <w:i w:val="0"/>
          <w:sz w:val="24"/>
        </w:rPr>
        <w:t xml:space="preserve"> tendrá que sufragar los gastos que conlleve la adquisición de los mismos. Bajo ningún concepto se podrá requerir al empleado que en forma alguna, contribuya directa o indirectamente a asumir total o parcialmente los gastos que conlleve la adquisición de tales uniformes.</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El Artículo 3 de esa ley excluía de su aplicación a las personas empleadas por los gobiernos municipales. Sin embargo, la Ley 47-2021, conocida como "Ley de Salario Mínimo de Puerto Rico", derogó los Artículos 2 y 3 de la Ley 180-1998, según se desprende de las fuentes localizadas. [CITA POR VERIFICAR: confirmar en el texto consolidado de OGP si la exclusión de los gobiernos municipales subsiste en la Ley 180-1998 tras la Ley 47-2021, y el número vigente del artículo sobre uniformes.] Mientras ese punto no se confirme, esta opinión no descansa en la exclusión municipal y analiza la regla de calzado de modo que no constituya un uniforme.</w:t>
      </w:r>
    </w:p>
    <w:p>
      <w:pPr>
        <w:spacing w:after="240" w:line="240" w:lineRule="auto"/>
        <w:jc w:val="both"/>
      </w:pPr>
      <w:r>
        <w:rPr>
          <w:rFonts w:ascii="Times New Roman" w:hAnsi="Times New Roman" w:cs="Times New Roman" w:eastAsia="Times New Roman"/>
          <w:b w:val="0"/>
          <w:i w:val="0"/>
          <w:sz w:val="24"/>
        </w:rPr>
        <w:t>La Ley Núm. 17 de 17 de abril de 1931, según enmendada, conocida como "Ley de Pago de Salarios", prohíbe en su Sección 5, 29 LPRA § 175, los descuentos de salario no autorizados. Su oración inicial dispone lo siguiente:</w:t>
      </w:r>
    </w:p>
    <w:p>
      <w:pPr>
        <w:spacing w:after="240" w:line="240" w:lineRule="auto"/>
        <w:ind w:left="720" w:right="720"/>
        <w:jc w:val="both"/>
      </w:pPr>
      <w:r>
        <w:rPr>
          <w:rFonts w:ascii="Times New Roman" w:hAnsi="Times New Roman" w:cs="Times New Roman" w:eastAsia="Times New Roman"/>
          <w:b w:val="0"/>
          <w:i w:val="0"/>
          <w:sz w:val="24"/>
        </w:rPr>
        <w:t xml:space="preserve">[TEXTO POR VERIFICAR] Salvo en los casos previstos en esta Sección, </w:t>
      </w:r>
      <w:r>
        <w:rPr>
          <w:rFonts w:ascii="Times New Roman" w:hAnsi="Times New Roman" w:cs="Times New Roman" w:eastAsia="Times New Roman"/>
          <w:b/>
          <w:i w:val="0"/>
          <w:sz w:val="24"/>
        </w:rPr>
        <w:t>ningún patrono podrá descontar ni retener por ningún motivo parte del salario</w:t>
      </w:r>
      <w:r>
        <w:rPr>
          <w:rFonts w:ascii="Times New Roman" w:hAnsi="Times New Roman" w:cs="Times New Roman" w:eastAsia="Times New Roman"/>
          <w:b w:val="0"/>
          <w:i w:val="0"/>
          <w:sz w:val="24"/>
        </w:rPr>
        <w:t xml:space="preserve"> que devengarán los obreros [...]</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La misma Sección, en su inciso (h), menciona a los empleados de corporaciones públicas, agencias e instrumentalidades gubernamentales, "incluyendo los municipios", al autorizar ciertos descuentos voluntarios por escrito. [TEXTO POR VERIFICAR: transcribir el inciso (h) de la Sección 5 y confirmar la aplicación de la ley a los municipios como patronos.]</w:t>
      </w:r>
    </w:p>
    <w:p>
      <w:pPr>
        <w:spacing w:after="240" w:line="240" w:lineRule="auto"/>
        <w:jc w:val="both"/>
      </w:pPr>
      <w:r>
        <w:rPr>
          <w:rFonts w:ascii="Times New Roman" w:hAnsi="Times New Roman" w:cs="Times New Roman" w:eastAsia="Times New Roman"/>
          <w:b w:val="0"/>
          <w:i w:val="0"/>
          <w:sz w:val="24"/>
        </w:rPr>
        <w:t>El Código Municipal de Puerto Rico, Ley 107-2020, según enmendada, confiere al Alcalde la facultad de reglamentar la conducta de los empleados y de sancionar su incumplimiento. El Artículo 1.018 dispone, en sus incisos (l), (m) y (n), lo siguiente:</w:t>
      </w:r>
    </w:p>
    <w:p>
      <w:pPr>
        <w:spacing w:after="240" w:line="240" w:lineRule="auto"/>
        <w:ind w:left="720" w:right="720"/>
        <w:jc w:val="both"/>
      </w:pPr>
      <w:r>
        <w:rPr>
          <w:rFonts w:ascii="Times New Roman" w:hAnsi="Times New Roman" w:cs="Times New Roman" w:eastAsia="Times New Roman"/>
          <w:b w:val="0"/>
          <w:i w:val="0"/>
          <w:sz w:val="24"/>
        </w:rPr>
        <w:t xml:space="preserve">(l) Dar cuenta inmediata a las autoridades competentes sobre cualquier irregularidad, deficiencia o infracción a las leyes, ordenanzas, resoluciones y reglamentos aplicables al municipio. Adoptar las medidas e imponer las sanciones que se dispongan a los funcionarios o empleados que incurran, o que con su acción u omisión ocasionen tales irregularidades, deficiencias o infracciones. (m) Diseñar, formular y aplicar un sistema de administración de personal para el municipio, de acuerdo con las disposiciones de este Código y los reglamentos adoptados en virtud del mismo. </w:t>
      </w:r>
      <w:r>
        <w:rPr>
          <w:rFonts w:ascii="Times New Roman" w:hAnsi="Times New Roman" w:cs="Times New Roman" w:eastAsia="Times New Roman"/>
          <w:b/>
          <w:i w:val="0"/>
          <w:sz w:val="24"/>
        </w:rPr>
        <w:t>Promulgar las reglas a que estarán sujetos los funcionarios y empleados municipales en el cumplimiento de sus deberes y obligaciones.</w:t>
      </w:r>
      <w:r>
        <w:rPr>
          <w:rFonts w:ascii="Times New Roman" w:hAnsi="Times New Roman" w:cs="Times New Roman" w:eastAsia="Times New Roman"/>
          <w:b w:val="0"/>
          <w:i w:val="0"/>
          <w:sz w:val="24"/>
        </w:rPr>
        <w:t xml:space="preserve"> (n) Propiciar, por conducto de la Oficina de Recursos Humanos, el desarrollo de programas dirigidos a mantener un clima de trabajo que contribuya a la satisfacción, motivación y participación de los empleados y funcionarios municipales.</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El Artículo 2.005 del Código Municipal asigna a los directores de unidades administrativas, entre otros, los deberes siguientes:</w:t>
      </w:r>
    </w:p>
    <w:p>
      <w:pPr>
        <w:spacing w:after="240" w:line="240" w:lineRule="auto"/>
        <w:ind w:left="720" w:right="720"/>
        <w:jc w:val="both"/>
      </w:pPr>
      <w:r>
        <w:rPr>
          <w:rFonts w:ascii="Times New Roman" w:hAnsi="Times New Roman" w:cs="Times New Roman" w:eastAsia="Times New Roman"/>
          <w:b w:val="0"/>
          <w:i w:val="0"/>
          <w:sz w:val="24"/>
        </w:rPr>
        <w:t>(c) Impartir las instrucciones específicas, de carácter técnico y administrativo que deben regir las actividades de la unidad administrativa de que se trate. [...] (e) Velar por el fiel cumplimiento de las normas legales y reglamentarias relativas a los asuntos bajo su dirección y estudiar y resolver los diversos problemas.</w:t>
      </w:r>
    </w:p>
    <w:p>
      <w:pPr>
        <w:spacing w:after="240" w:line="240" w:lineRule="auto"/>
        <w:jc w:val="both"/>
      </w:pPr>
      <w:r>
        <w:rPr>
          <w:rFonts w:ascii="Times New Roman" w:hAnsi="Times New Roman" w:cs="Times New Roman" w:eastAsia="Times New Roman"/>
          <w:b w:val="0"/>
          <w:i w:val="0"/>
          <w:sz w:val="24"/>
        </w:rPr>
        <w:t>El Artículo 2.042 del Código Municipal ordena a cada municipio establecer un sistema autónomo de administración de recursos humanos regido por el principio de mérito y adoptar un reglamento uniforme de administración de recursos humanos. El Artículo 2.044(c) define a los empleados transitorios como "aquellos empleados nombrados para ocupar puestos o posiciones en el municipio por periodos de tiempo determinados" y dispone que "estos empleados se considerarán empleados municipales". El Artículo 2.052, sobre deberes y obligaciones de los empleados, aplica a todos ellos con independencia de su estado legal y dispone, en lo pertinente, lo siguiente:</w:t>
      </w:r>
    </w:p>
    <w:p>
      <w:pPr>
        <w:spacing w:after="240" w:line="240" w:lineRule="auto"/>
        <w:ind w:left="720" w:right="720"/>
        <w:jc w:val="both"/>
      </w:pPr>
      <w:r>
        <w:rPr>
          <w:rFonts w:ascii="Times New Roman" w:hAnsi="Times New Roman" w:cs="Times New Roman" w:eastAsia="Times New Roman"/>
          <w:b w:val="0"/>
          <w:i w:val="0"/>
          <w:sz w:val="24"/>
        </w:rPr>
        <w:t xml:space="preserve">Además de los otros que puedan establecerse por ley, ordenanza o reglamentos, todos los funcionarios y empleados municipales, </w:t>
      </w:r>
      <w:r>
        <w:rPr>
          <w:rFonts w:ascii="Times New Roman" w:hAnsi="Times New Roman" w:cs="Times New Roman" w:eastAsia="Times New Roman"/>
          <w:b/>
          <w:i w:val="0"/>
          <w:sz w:val="24"/>
        </w:rPr>
        <w:t>independientemente del servicio a que pertenezcan o del estado legal que ostenten</w:t>
      </w:r>
      <w:r>
        <w:rPr>
          <w:rFonts w:ascii="Times New Roman" w:hAnsi="Times New Roman" w:cs="Times New Roman" w:eastAsia="Times New Roman"/>
          <w:b w:val="0"/>
          <w:i w:val="0"/>
          <w:sz w:val="24"/>
        </w:rPr>
        <w:t xml:space="preserve">, tendrán los deberes y obligaciones que a continuación se disponen: (a) Los funcionarios y empleados municipales deberán: [...] (4) </w:t>
      </w:r>
      <w:r>
        <w:rPr>
          <w:rFonts w:ascii="Times New Roman" w:hAnsi="Times New Roman" w:cs="Times New Roman" w:eastAsia="Times New Roman"/>
          <w:b/>
          <w:i w:val="0"/>
          <w:sz w:val="24"/>
        </w:rPr>
        <w:t>Acatar aquellas órdenes e instrucciones de sus supervisores</w:t>
      </w:r>
      <w:r>
        <w:rPr>
          <w:rFonts w:ascii="Times New Roman" w:hAnsi="Times New Roman" w:cs="Times New Roman" w:eastAsia="Times New Roman"/>
          <w:b w:val="0"/>
          <w:i w:val="0"/>
          <w:sz w:val="24"/>
        </w:rPr>
        <w:t xml:space="preserve"> compatibles con la autoridad delegada en estos y con las funciones, actividades y operaciones municipales. [...] (8) Cumplir las disposiciones de este Código, las ordenanzas, las reglas y las órdenes adoptadas en virtud de la misma.</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El Artículo 2.053 del Código Municipal regula las acciones disciplinarias en los términos siguientes:</w:t>
      </w:r>
    </w:p>
    <w:p>
      <w:pPr>
        <w:spacing w:after="240" w:line="240" w:lineRule="auto"/>
        <w:ind w:left="720" w:right="720"/>
        <w:jc w:val="both"/>
      </w:pPr>
      <w:r>
        <w:rPr>
          <w:rFonts w:ascii="Times New Roman" w:hAnsi="Times New Roman" w:cs="Times New Roman" w:eastAsia="Times New Roman"/>
          <w:b w:val="0"/>
          <w:i w:val="0"/>
          <w:sz w:val="24"/>
        </w:rPr>
        <w:t xml:space="preserve">Cuando la conducta de un empleado no se ajuste a las normas establecidas, la autoridad nominadora municipal impondrá la acción disciplinaria que corresponda. Entre otras medidas, se podrán considerar </w:t>
      </w:r>
      <w:r>
        <w:rPr>
          <w:rFonts w:ascii="Times New Roman" w:hAnsi="Times New Roman" w:cs="Times New Roman" w:eastAsia="Times New Roman"/>
          <w:b/>
          <w:i w:val="0"/>
          <w:sz w:val="24"/>
        </w:rPr>
        <w:t>la amonestación verbal, las reprimendas escritas, las suspensiones de empleo y sueldo y las destituciones</w:t>
      </w:r>
      <w:r>
        <w:rPr>
          <w:rFonts w:ascii="Times New Roman" w:hAnsi="Times New Roman" w:cs="Times New Roman" w:eastAsia="Times New Roman"/>
          <w:b w:val="0"/>
          <w:i w:val="0"/>
          <w:sz w:val="24"/>
        </w:rPr>
        <w:t xml:space="preserve">. (a) Se podrá destituir o suspender de empleo y sueldo a cualquier empleado, por justa causa, y </w:t>
      </w:r>
      <w:r>
        <w:rPr>
          <w:rFonts w:ascii="Times New Roman" w:hAnsi="Times New Roman" w:cs="Times New Roman" w:eastAsia="Times New Roman"/>
          <w:b/>
          <w:i w:val="0"/>
          <w:sz w:val="24"/>
        </w:rPr>
        <w:t>previa formulación de cargos por escrito y advertencia de su derecho a una vista informal</w:t>
      </w:r>
      <w:r>
        <w:rPr>
          <w:rFonts w:ascii="Times New Roman" w:hAnsi="Times New Roman" w:cs="Times New Roman" w:eastAsia="Times New Roman"/>
          <w:b w:val="0"/>
          <w:i w:val="0"/>
          <w:sz w:val="24"/>
        </w:rPr>
        <w:t>. En aquellos casos en que la conducta del empleado consista del uso ilegal de fondos públicos o cuando exista base razonable para creer que este constituye un peligro real para la salud, vida o moral de los empleados o del pueblo en general, se le podrá suspender de empleo en forma sumaria y luego de una vista informal en que se le informe de la acción a tomarse y se le dé oportunidad de expresarse. [...] (d) Podrá ser motivo de suspensión de empleo y sueldo y destitución, entre otras situaciones similares, la ausencia injustificada y sin autorización, del trabajo por cinco (5) días consecutivos y la violación de las disposiciones del Artículo 2.052 de este Código.</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El Artículo 2.056(q)(1) del Código Municipal autoriza métodos alternos de retribución que el municipio puede incorporar a su reglamento conforme a su capacidad presupuestaria, y enumera entre ellos el siguiente:</w:t>
      </w:r>
    </w:p>
    <w:p>
      <w:pPr>
        <w:spacing w:after="240" w:line="240" w:lineRule="auto"/>
        <w:ind w:left="720" w:right="720"/>
        <w:jc w:val="both"/>
      </w:pPr>
      <w:r>
        <w:rPr>
          <w:rFonts w:ascii="Times New Roman" w:hAnsi="Times New Roman" w:cs="Times New Roman" w:eastAsia="Times New Roman"/>
          <w:b w:val="0"/>
          <w:i w:val="0"/>
          <w:sz w:val="24"/>
        </w:rPr>
        <w:t xml:space="preserve">(viii) Beneficios de hospedaje, comida, </w:t>
      </w:r>
      <w:r>
        <w:rPr>
          <w:rFonts w:ascii="Times New Roman" w:hAnsi="Times New Roman" w:cs="Times New Roman" w:eastAsia="Times New Roman"/>
          <w:b/>
          <w:i w:val="0"/>
          <w:sz w:val="24"/>
        </w:rPr>
        <w:t>uniformes a todo empleado que lo requiera por la naturaleza del servicio que realiza</w:t>
      </w:r>
      <w:r>
        <w:rPr>
          <w:rFonts w:ascii="Times New Roman" w:hAnsi="Times New Roman" w:cs="Times New Roman" w:eastAsia="Times New Roman"/>
          <w:b w:val="0"/>
          <w:i w:val="0"/>
          <w:sz w:val="24"/>
        </w:rPr>
        <w:t>.</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El Artículo 2.059 del Código Municipal dispone que "[e]l Municipio administrará lo relativo al horario, a la jornada de trabajo y a la asistencia de los empleados, conforme a la reglamentación que adopte". Finalmente, el Artículo 3.032 del Código Municipal, sobre el uniforme oficial de la Policía Municipal, es la única disposición del Código que regula de forma expresa un uniforme, y dispone que "[m]ediante reglamento se establecerá la vestimenta que habrá de constituir el uniforme oficial del Cuerpo y el equipo destinado al mismo". Advertimos que el texto consolidado con revisión de 21 de agosto de 2026 que nos fue provisto no contiene la oración, atribuida por fuentes secundarias a la versión original de 2020, según la cual las prendas y equipo del uniforme serían suministradas por el municipio "libre de costo". [CITA POR VERIFICAR: cotejar el historial de enmiendas del Artículo 3.032.] El Código no contiene disposición alguna sobre uniformes, calzado o equipo de seguridad de los demás empleados municipales.</w:t>
      </w:r>
    </w:p>
    <w:p>
      <w:pPr>
        <w:spacing w:after="240" w:line="240" w:lineRule="auto"/>
        <w:jc w:val="both"/>
      </w:pPr>
      <w:r>
        <w:rPr>
          <w:rFonts w:ascii="Times New Roman" w:hAnsi="Times New Roman" w:cs="Times New Roman" w:eastAsia="Times New Roman"/>
          <w:b w:val="0"/>
          <w:i w:val="0"/>
          <w:sz w:val="24"/>
        </w:rPr>
        <w:t>En el ámbito reglamentario, el Reglamento para la Administración de los Recursos Humanos del Servicio de Carrera del Municipio de Naguabo de 2025 (en adelante, el Reglamento), adoptado al amparo del Artículo 2.042 del Código Municipal, dispone en su Artículo 4 lo siguiente:</w:t>
      </w:r>
    </w:p>
    <w:p>
      <w:pPr>
        <w:spacing w:after="240" w:line="240" w:lineRule="auto"/>
        <w:ind w:left="720" w:right="720"/>
        <w:jc w:val="both"/>
      </w:pPr>
      <w:r>
        <w:rPr>
          <w:rFonts w:ascii="Times New Roman" w:hAnsi="Times New Roman" w:cs="Times New Roman" w:eastAsia="Times New Roman"/>
          <w:b w:val="0"/>
          <w:i w:val="0"/>
          <w:sz w:val="24"/>
        </w:rPr>
        <w:t>Este Reglamento aplicará a los empleados en el Servicio de Carrera del Municipio de Naguabo. No será de aplicación al personal irregular del Municipio. Tampoco aplicará al personal de confianza, excepto lo que expresamente aquí se dispone.</w:t>
      </w:r>
    </w:p>
    <w:p>
      <w:pPr>
        <w:spacing w:after="240" w:line="240" w:lineRule="auto"/>
        <w:jc w:val="both"/>
      </w:pPr>
      <w:r>
        <w:rPr>
          <w:rFonts w:ascii="Times New Roman" w:hAnsi="Times New Roman" w:cs="Times New Roman" w:eastAsia="Times New Roman"/>
          <w:b w:val="0"/>
          <w:i w:val="0"/>
          <w:sz w:val="24"/>
        </w:rPr>
        <w:t>La Sección 9.1 del Reglamento condiciona la seguridad en el empleo al cumplimiento de los criterios de orden y disciplina y encarga al Municipio establecerlos:</w:t>
      </w:r>
    </w:p>
    <w:p>
      <w:pPr>
        <w:spacing w:after="240" w:line="240" w:lineRule="auto"/>
        <w:ind w:left="720" w:right="720"/>
        <w:jc w:val="both"/>
      </w:pPr>
      <w:r>
        <w:rPr>
          <w:rFonts w:ascii="Times New Roman" w:hAnsi="Times New Roman" w:cs="Times New Roman" w:eastAsia="Times New Roman"/>
          <w:b w:val="0"/>
          <w:i w:val="0"/>
          <w:sz w:val="24"/>
        </w:rPr>
        <w:t xml:space="preserve">Los empleados de carrera con estatus regular, reclutados, según la normativa aplicable tendrán seguridad en el empleo siempre que cumplan los criterios de productividad, eficiencia, hábitos y actitudes, orden y disciplina que deben prevalecer en el servicio público. </w:t>
      </w:r>
      <w:r>
        <w:rPr>
          <w:rFonts w:ascii="Times New Roman" w:hAnsi="Times New Roman" w:cs="Times New Roman" w:eastAsia="Times New Roman"/>
          <w:b/>
          <w:i w:val="0"/>
          <w:sz w:val="24"/>
        </w:rPr>
        <w:t>El municipio establecerá esos criterios tomando en consideración las funciones de los puestos</w:t>
      </w:r>
      <w:r>
        <w:rPr>
          <w:rFonts w:ascii="Times New Roman" w:hAnsi="Times New Roman" w:cs="Times New Roman" w:eastAsia="Times New Roman"/>
          <w:b w:val="0"/>
          <w:i w:val="0"/>
          <w:sz w:val="24"/>
        </w:rPr>
        <w:t xml:space="preserve"> y los deberes, obligaciones y prohibiciones que se establecen en el Código Municipal para todos los funcionarios y empleados municipales.</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La Sección 9.2 del Reglamento reproduce los deberes y obligaciones del Artículo 2.052 del Código Municipal, incluido el deber de acatar las órdenes e instrucciones de los supervisores. La Sección 9.3, sobre acciones correctivas y disciplinarias, dispone lo siguiente:</w:t>
      </w:r>
    </w:p>
    <w:p>
      <w:pPr>
        <w:spacing w:after="240" w:line="240" w:lineRule="auto"/>
        <w:ind w:left="720" w:right="720"/>
        <w:jc w:val="both"/>
      </w:pPr>
      <w:r>
        <w:rPr>
          <w:rFonts w:ascii="Times New Roman" w:hAnsi="Times New Roman" w:cs="Times New Roman" w:eastAsia="Times New Roman"/>
          <w:b w:val="0"/>
          <w:i w:val="0"/>
          <w:sz w:val="24"/>
        </w:rPr>
        <w:t xml:space="preserve">Cuando la conducta de un empleado no se ajuste a las normas establecidas, la Autoridad Nominadora impondrá la acción disciplinaria que corresponda. </w:t>
      </w:r>
      <w:r>
        <w:rPr>
          <w:rFonts w:ascii="Times New Roman" w:hAnsi="Times New Roman" w:cs="Times New Roman" w:eastAsia="Times New Roman"/>
          <w:b/>
          <w:i w:val="0"/>
          <w:sz w:val="24"/>
        </w:rPr>
        <w:t>Se establecerá mediante reglamentación interna las reglas de conducta de los empleados</w:t>
      </w:r>
      <w:r>
        <w:rPr>
          <w:rFonts w:ascii="Times New Roman" w:hAnsi="Times New Roman" w:cs="Times New Roman" w:eastAsia="Times New Roman"/>
          <w:b w:val="0"/>
          <w:i w:val="0"/>
          <w:sz w:val="24"/>
        </w:rPr>
        <w:t xml:space="preserve"> en armonía con las disposiciones de esta Sección y las acciones disciplinarias aplicables a esas reglas de conducta. </w:t>
      </w:r>
      <w:r>
        <w:rPr>
          <w:rFonts w:ascii="Times New Roman" w:hAnsi="Times New Roman" w:cs="Times New Roman" w:eastAsia="Times New Roman"/>
          <w:b/>
          <w:i w:val="0"/>
          <w:sz w:val="24"/>
        </w:rPr>
        <w:t>Se orientará a los empleados sobre la referida reglamentación</w:t>
      </w:r>
      <w:r>
        <w:rPr>
          <w:rFonts w:ascii="Times New Roman" w:hAnsi="Times New Roman" w:cs="Times New Roman" w:eastAsia="Times New Roman"/>
          <w:b w:val="0"/>
          <w:i w:val="0"/>
          <w:sz w:val="24"/>
        </w:rPr>
        <w:t xml:space="preserve"> al momento de éstos tomar posesión de sus puestos. [...] Entre otras medidas se podrán considerar la amonestación verbal, las reprimendas escritas, las suspensiones de empleo y sueldo y las destituciones. Se podrá destituir o suspender de empleo y sueldo a cualquier empleado, por justa causa, y previa formulación de cargos por escrito y advertencia de su derecho a una vista informal. [...] Se le advertirá sobre el derecho a solicitar una vista administrativa informal, dentro del término de diez (10) días de la notificación de la formulación de cargos para que explique su versión de los hechos. [...] Cuando la conducta imputada presente una situación real o potencial de peligro para la salud, vida o moral de los empleados o del pueblo en general se podrá suspender sumariamente de empleo temporeramente conservando su sueldo y los beneficios correspondientes al empleado antes de la celebración de la vista previa.</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La Sección 9.8 del Reglamento extiende ese procedimiento a los empleados transitorios:</w:t>
      </w:r>
    </w:p>
    <w:p>
      <w:pPr>
        <w:spacing w:after="240" w:line="240" w:lineRule="auto"/>
        <w:ind w:left="720" w:right="720"/>
        <w:jc w:val="both"/>
      </w:pPr>
      <w:r>
        <w:rPr>
          <w:rFonts w:ascii="Times New Roman" w:hAnsi="Times New Roman" w:cs="Times New Roman" w:eastAsia="Times New Roman"/>
          <w:b w:val="0"/>
          <w:i w:val="0"/>
          <w:sz w:val="24"/>
        </w:rPr>
        <w:t>Los empleados transitorios podrán ser separados de sus puestos, antes del vencimiento de sus nombramientos, cuando sus servicios, hábitos o actitudes no sean satisfactorios, mediante formulación de cargos, un procedimiento de vista previa informal y a la observación de lo establecido en la sección 9.3 de este Reglamento.</w:t>
      </w:r>
    </w:p>
    <w:p>
      <w:pPr>
        <w:spacing w:after="240" w:line="240" w:lineRule="auto"/>
        <w:jc w:val="both"/>
      </w:pPr>
      <w:r>
        <w:rPr>
          <w:rFonts w:ascii="Times New Roman" w:hAnsi="Times New Roman" w:cs="Times New Roman" w:eastAsia="Times New Roman"/>
          <w:b w:val="0"/>
          <w:i w:val="0"/>
          <w:sz w:val="24"/>
        </w:rPr>
        <w:t>El Artículo 18 del Reglamento define la Autoridad Nominadora como la "Alcaldesa del Municipio de Naguabo". El Reglamento no contiene disposición alguna sobre uniformes, vestimenta o calzado.</w:t>
      </w:r>
    </w:p>
    <w:p>
      <w:pPr>
        <w:spacing w:after="240" w:line="240" w:lineRule="auto"/>
        <w:jc w:val="both"/>
      </w:pPr>
      <w:r>
        <w:rPr>
          <w:rFonts w:ascii="Times New Roman" w:hAnsi="Times New Roman" w:cs="Times New Roman" w:eastAsia="Times New Roman"/>
          <w:b w:val="0"/>
          <w:i w:val="0"/>
          <w:sz w:val="24"/>
        </w:rPr>
        <w:t>También en el plano reglamentario, el Artículo 2.047 del Código Municipal dispone que todos los puestos del municipio estarán sujetos a un plan de clasificación aprobado por la Legislatura Municipal y que se preparará una especificación para cada clase. Su inciso (b) dispone, en lo pertinente, lo siguiente:</w:t>
      </w:r>
    </w:p>
    <w:p>
      <w:pPr>
        <w:spacing w:after="240" w:line="240" w:lineRule="auto"/>
        <w:ind w:left="720" w:right="720"/>
        <w:jc w:val="both"/>
      </w:pPr>
      <w:r>
        <w:rPr>
          <w:rFonts w:ascii="Times New Roman" w:hAnsi="Times New Roman" w:cs="Times New Roman" w:eastAsia="Times New Roman"/>
          <w:b w:val="0"/>
          <w:i w:val="0"/>
          <w:sz w:val="24"/>
        </w:rPr>
        <w:t xml:space="preserve">Se preparará una especificación para cada clase incluida en el plan de clasificación. La especificación contendrá una descripción clara de la naturaleza y complejidad del trabajo, nivel jerárquico, grado de autoridad y responsabilidad requerida de sus incumbentes, </w:t>
      </w:r>
      <w:r>
        <w:rPr>
          <w:rFonts w:ascii="Times New Roman" w:hAnsi="Times New Roman" w:cs="Times New Roman" w:eastAsia="Times New Roman"/>
          <w:b/>
          <w:i w:val="0"/>
          <w:sz w:val="24"/>
        </w:rPr>
        <w:t>tareas típicas</w:t>
      </w:r>
      <w:r>
        <w:rPr>
          <w:rFonts w:ascii="Times New Roman" w:hAnsi="Times New Roman" w:cs="Times New Roman" w:eastAsia="Times New Roman"/>
          <w:b w:val="0"/>
          <w:i w:val="0"/>
          <w:sz w:val="24"/>
        </w:rPr>
        <w:t xml:space="preserve">, requisitos mínimos de preparación, experiencia, </w:t>
      </w:r>
      <w:r>
        <w:rPr>
          <w:rFonts w:ascii="Times New Roman" w:hAnsi="Times New Roman" w:cs="Times New Roman" w:eastAsia="Times New Roman"/>
          <w:b/>
          <w:i w:val="0"/>
          <w:sz w:val="24"/>
        </w:rPr>
        <w:t>conocimiento, habilidades y las destrezas que deben reunir los empleados en la clase</w:t>
      </w:r>
      <w:r>
        <w:rPr>
          <w:rFonts w:ascii="Times New Roman" w:hAnsi="Times New Roman" w:cs="Times New Roman" w:eastAsia="Times New Roman"/>
          <w:b w:val="0"/>
          <w:i w:val="0"/>
          <w:sz w:val="24"/>
        </w:rPr>
        <w:t>, duración del período probatorio para los puestos y sueldo mínimo y máximo asignado a la clase. La especificación de clases quedará formalizada con la firma del Alcalde.</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El inciso (c) del mismo Artículo ordena considerar, al asignar cada clase a una escala de retribución, entre otros factores, las "condiciones de trabajo, riesgos inherentes al trabajo y requisitos mínimos del puesto". Al amparo de esa disposición, la Alcaldesa aprobó en 2023 la especificación de la clase Trabajador, número de clase 2111, que describe la naturaleza del trabajo como "la ejecución de tareas de conservación, mantenimiento y limpieza en las instalaciones del Municipio de Naguabo" y, bajo el epígrafe de aspectos distintivos, dispone lo siguiente:</w:t>
      </w:r>
    </w:p>
    <w:p>
      <w:pPr>
        <w:spacing w:after="240" w:line="240" w:lineRule="auto"/>
        <w:ind w:left="720" w:right="720"/>
        <w:jc w:val="both"/>
      </w:pPr>
      <w:r>
        <w:rPr>
          <w:rFonts w:ascii="Times New Roman" w:hAnsi="Times New Roman" w:cs="Times New Roman" w:eastAsia="Times New Roman"/>
          <w:b w:val="0"/>
          <w:i w:val="0"/>
          <w:sz w:val="24"/>
        </w:rPr>
        <w:t xml:space="preserve">El trabajo en esta clase es rutinario que conlleva conservar terrenos, mantenimiento de áreas verdes en parques, plazas y edificios municipales, mantenimiento de instalaciones municipales, </w:t>
      </w:r>
      <w:r>
        <w:rPr>
          <w:rFonts w:ascii="Times New Roman" w:hAnsi="Times New Roman" w:cs="Times New Roman" w:eastAsia="Times New Roman"/>
          <w:b/>
          <w:i w:val="0"/>
          <w:sz w:val="24"/>
        </w:rPr>
        <w:t>recogido de desperdicios sólidos y escombros</w:t>
      </w:r>
      <w:r>
        <w:rPr>
          <w:rFonts w:ascii="Times New Roman" w:hAnsi="Times New Roman" w:cs="Times New Roman" w:eastAsia="Times New Roman"/>
          <w:b w:val="0"/>
          <w:i w:val="0"/>
          <w:sz w:val="24"/>
        </w:rPr>
        <w:t xml:space="preserve">, entre otras actividades de conservación, mantenimiento y limpieza. El empleado trabaja bajo la supervisión directa de un superior jerárquico de quien </w:t>
      </w:r>
      <w:r>
        <w:rPr>
          <w:rFonts w:ascii="Times New Roman" w:hAnsi="Times New Roman" w:cs="Times New Roman" w:eastAsia="Times New Roman"/>
          <w:b/>
          <w:i w:val="0"/>
          <w:sz w:val="24"/>
        </w:rPr>
        <w:t>recibe instrucciones específicas y detalladas</w:t>
      </w:r>
      <w:r>
        <w:rPr>
          <w:rFonts w:ascii="Times New Roman" w:hAnsi="Times New Roman" w:cs="Times New Roman" w:eastAsia="Times New Roman"/>
          <w:b w:val="0"/>
          <w:i w:val="0"/>
          <w:sz w:val="24"/>
        </w:rPr>
        <w:t xml:space="preserve"> que se generalizan según el empleado domina sus funciones.</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Entre las responsabilidades y funciones de la clase, la especificación enumera las siguientes:</w:t>
      </w:r>
    </w:p>
    <w:p>
      <w:pPr>
        <w:spacing w:after="240" w:line="240" w:lineRule="auto"/>
        <w:ind w:left="720" w:right="720"/>
        <w:jc w:val="both"/>
      </w:pPr>
      <w:r>
        <w:rPr>
          <w:rFonts w:ascii="Times New Roman" w:hAnsi="Times New Roman" w:cs="Times New Roman" w:eastAsia="Times New Roman"/>
          <w:b w:val="0"/>
          <w:i w:val="0"/>
          <w:sz w:val="24"/>
        </w:rPr>
        <w:t xml:space="preserve">Recoge desperdicios sólidos y </w:t>
      </w:r>
      <w:r>
        <w:rPr>
          <w:rFonts w:ascii="Times New Roman" w:hAnsi="Times New Roman" w:cs="Times New Roman" w:eastAsia="Times New Roman"/>
          <w:b/>
          <w:i w:val="0"/>
          <w:sz w:val="24"/>
        </w:rPr>
        <w:t>escombros</w:t>
      </w:r>
      <w:r>
        <w:rPr>
          <w:rFonts w:ascii="Times New Roman" w:hAnsi="Times New Roman" w:cs="Times New Roman" w:eastAsia="Times New Roman"/>
          <w:b w:val="0"/>
          <w:i w:val="0"/>
          <w:sz w:val="24"/>
        </w:rPr>
        <w:t xml:space="preserve"> en áreas asignadas y las deposita en el camión del recogido de basura. [...] Lava pisos, paredes, calles, aceras, encintados y otros con una </w:t>
      </w:r>
      <w:r>
        <w:rPr>
          <w:rFonts w:ascii="Times New Roman" w:hAnsi="Times New Roman" w:cs="Times New Roman" w:eastAsia="Times New Roman"/>
          <w:b/>
          <w:i w:val="0"/>
          <w:sz w:val="24"/>
        </w:rPr>
        <w:t>máquina de presión</w:t>
      </w:r>
      <w:r>
        <w:rPr>
          <w:rFonts w:ascii="Times New Roman" w:hAnsi="Times New Roman" w:cs="Times New Roman" w:eastAsia="Times New Roman"/>
          <w:b w:val="0"/>
          <w:i w:val="0"/>
          <w:sz w:val="24"/>
        </w:rPr>
        <w:t xml:space="preserve">. [...] </w:t>
      </w:r>
      <w:r>
        <w:rPr>
          <w:rFonts w:ascii="Times New Roman" w:hAnsi="Times New Roman" w:cs="Times New Roman" w:eastAsia="Times New Roman"/>
          <w:b/>
          <w:i w:val="0"/>
          <w:sz w:val="24"/>
        </w:rPr>
        <w:t>Limpia zanjas, cunetones y destapa las parrillas de las alcantarillas</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Corta árboles</w:t>
      </w:r>
      <w:r>
        <w:rPr>
          <w:rFonts w:ascii="Times New Roman" w:hAnsi="Times New Roman" w:cs="Times New Roman" w:eastAsia="Times New Roman"/>
          <w:b w:val="0"/>
          <w:i w:val="0"/>
          <w:sz w:val="24"/>
        </w:rPr>
        <w:t xml:space="preserve">, poda ramas y desyerba áreas verdes. Participa en la </w:t>
      </w:r>
      <w:r>
        <w:rPr>
          <w:rFonts w:ascii="Times New Roman" w:hAnsi="Times New Roman" w:cs="Times New Roman" w:eastAsia="Times New Roman"/>
          <w:b/>
          <w:i w:val="0"/>
          <w:sz w:val="24"/>
        </w:rPr>
        <w:t>brigada de asfalto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Repara e instala neumáticos</w:t>
      </w:r>
      <w:r>
        <w:rPr>
          <w:rFonts w:ascii="Times New Roman" w:hAnsi="Times New Roman" w:cs="Times New Roman" w:eastAsia="Times New Roman"/>
          <w:b w:val="0"/>
          <w:i w:val="0"/>
          <w:sz w:val="24"/>
        </w:rPr>
        <w:t xml:space="preserve"> de vehículos de motor. [...] Colabora en la </w:t>
      </w:r>
      <w:r>
        <w:rPr>
          <w:rFonts w:ascii="Times New Roman" w:hAnsi="Times New Roman" w:cs="Times New Roman" w:eastAsia="Times New Roman"/>
          <w:b/>
          <w:i w:val="0"/>
          <w:sz w:val="24"/>
        </w:rPr>
        <w:t>mudanza de equipos, muebles y materiales</w:t>
      </w:r>
      <w:r>
        <w:rPr>
          <w:rFonts w:ascii="Times New Roman" w:hAnsi="Times New Roman" w:cs="Times New Roman" w:eastAsia="Times New Roman"/>
          <w:b w:val="0"/>
          <w:i w:val="0"/>
          <w:sz w:val="24"/>
        </w:rPr>
        <w:t>.</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Bajo el epígrafe de conocimientos, habilidades y destrezas, la especificación exige lo siguiente:</w:t>
      </w:r>
    </w:p>
    <w:p>
      <w:pPr>
        <w:spacing w:after="240" w:line="240" w:lineRule="auto"/>
        <w:ind w:left="720" w:right="720"/>
        <w:jc w:val="both"/>
      </w:pPr>
      <w:r>
        <w:rPr>
          <w:rFonts w:ascii="Times New Roman" w:hAnsi="Times New Roman" w:cs="Times New Roman" w:eastAsia="Times New Roman"/>
          <w:b/>
          <w:i w:val="0"/>
          <w:sz w:val="24"/>
        </w:rPr>
        <w:t>Conocimiento de los riesgos ocupacionales y las medidas de seguridad requeridas para realizar sus funciones</w:t>
      </w:r>
      <w:r>
        <w:rPr>
          <w:rFonts w:ascii="Times New Roman" w:hAnsi="Times New Roman" w:cs="Times New Roman" w:eastAsia="Times New Roman"/>
          <w:b w:val="0"/>
          <w:i w:val="0"/>
          <w:sz w:val="24"/>
        </w:rPr>
        <w:t xml:space="preserve">. [...] Habilidad para realizar </w:t>
      </w:r>
      <w:r>
        <w:rPr>
          <w:rFonts w:ascii="Times New Roman" w:hAnsi="Times New Roman" w:cs="Times New Roman" w:eastAsia="Times New Roman"/>
          <w:b/>
          <w:i w:val="0"/>
          <w:sz w:val="24"/>
        </w:rPr>
        <w:t>trabajo de campo expuesto a riesgos moderado que conlleve esfuerzo físico fuerte</w:t>
      </w:r>
      <w:r>
        <w:rPr>
          <w:rFonts w:ascii="Times New Roman" w:hAnsi="Times New Roman" w:cs="Times New Roman" w:eastAsia="Times New Roman"/>
          <w:b w:val="0"/>
          <w:i w:val="0"/>
          <w:sz w:val="24"/>
        </w:rPr>
        <w:t>. [...] Destreza en la operación de las herramientas y equipo que utiliza para el desempeño de sus funciones</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La especificación asigna la clase a la Escala Número 1, con sueldo mensual de mil doscientos ochenta y nueve (1,289) dólares a mil ochocientos cinco (1,805) dólares, fija un período probatorio de cuatro (4) meses y exige como preparación mínima saber leer y escribir. No contiene disposición alguna sobre vestimenta, calzado ni equipo de protección.</w:t>
      </w:r>
    </w:p>
    <w:p>
      <w:pPr>
        <w:spacing w:after="240" w:line="240" w:lineRule="auto"/>
        <w:jc w:val="both"/>
      </w:pPr>
      <w:r>
        <w:rPr>
          <w:rFonts w:ascii="Times New Roman" w:hAnsi="Times New Roman" w:cs="Times New Roman" w:eastAsia="Times New Roman"/>
          <w:b w:val="0"/>
          <w:i w:val="0"/>
          <w:sz w:val="24"/>
        </w:rPr>
        <w:t>En el plano interpretativo administrativo, OSHA ha emitido cartas de interpretación pertinentes. En la carta de 28 de agosto de 2003, sobre uso de zapatos abiertos en un ambiente de oficina, OSHA indicó que no tiene una política específica sobre el uso de calzado abierto y que el requisito de protección de los pies no atiende a la ocupación sino al riesgo, de modo que deben evaluarse las actividades y el entorno del trabajador para determinar si existe riesgo de objetos que caigan sobre sus pies. [TEXTO POR VERIFICAR: https://www.osha.gov/laws-regs/standardinterpretations/2003-08-28.] En la carta de 9 de diciembre de 2013, dirigida a la International Union of Elevator Constructors sobre evaluación de riesgos para calzado, OSHA sostuvo lo siguiente:</w:t>
      </w:r>
    </w:p>
    <w:p>
      <w:pPr>
        <w:spacing w:after="240" w:line="240" w:lineRule="auto"/>
        <w:ind w:left="720" w:right="720"/>
        <w:jc w:val="both"/>
      </w:pPr>
      <w:r>
        <w:rPr>
          <w:rFonts w:ascii="Times New Roman" w:hAnsi="Times New Roman" w:cs="Times New Roman" w:eastAsia="Times New Roman"/>
          <w:b w:val="0"/>
          <w:i w:val="0"/>
          <w:sz w:val="24"/>
        </w:rPr>
        <w:t xml:space="preserve">The employer can require safety-toe footwear to be worn at all times </w:t>
      </w:r>
      <w:r>
        <w:rPr>
          <w:rFonts w:ascii="Times New Roman" w:hAnsi="Times New Roman" w:cs="Times New Roman" w:eastAsia="Times New Roman"/>
          <w:b/>
          <w:i w:val="0"/>
          <w:sz w:val="24"/>
        </w:rPr>
        <w:t>if the employer has conducted a workplace hazard assessment</w:t>
      </w:r>
      <w:r>
        <w:rPr>
          <w:rFonts w:ascii="Times New Roman" w:hAnsi="Times New Roman" w:cs="Times New Roman" w:eastAsia="Times New Roman"/>
          <w:b w:val="0"/>
          <w:i w:val="0"/>
          <w:sz w:val="24"/>
        </w:rPr>
        <w:t xml:space="preserve"> and concluded that hazards are present, or are likely to be present that would require the employee to wear safety-toe footwear while on the job site. However, if the employer selects non-specialty safety-toe protective footwear that provides adequate protection against the hazards on the job, the footwear is not required to be provided by the employer at no cost to the employees, regardless of the policy that it be worn at all times. [...] If that assessment determines that employees are exposed to electrical hazards and the employer selects electric shock resistant footwear to help protect employees from these hazards, then the employer must provide this footwear at no cost to the exposed employees if the footwear is rated to provide greater protection than is provided by a normal safety-toe shoe or boot against electrical hazards. [...] While many State Plans adopt OSHA standards identically, your clients should check with the State Plans in which they conduct business </w:t>
      </w:r>
      <w:r>
        <w:rPr>
          <w:rFonts w:ascii="Times New Roman" w:hAnsi="Times New Roman" w:cs="Times New Roman" w:eastAsia="Times New Roman"/>
          <w:b/>
          <w:i w:val="0"/>
          <w:sz w:val="24"/>
        </w:rPr>
        <w:t>to determine if those states have additional or more stringent requirements</w:t>
      </w:r>
      <w:r>
        <w:rPr>
          <w:rFonts w:ascii="Times New Roman" w:hAnsi="Times New Roman" w:cs="Times New Roman" w:eastAsia="Times New Roman"/>
          <w:b w:val="0"/>
          <w:i w:val="0"/>
          <w:sz w:val="24"/>
        </w:rPr>
        <w:t>.</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En la carta de 11 de mayo de 2009, OSHA concluyó que las botas de goma con puntera de acero exigidas para pisos resbalosos son calzado especializado que el patrono debe pagar aunque permita su uso fuera del trabajo. [TEXTO POR VERIFICAR: https://www.osha.gov/laws-regs/standardinterpretations/2009-05-11.]</w:t>
      </w:r>
    </w:p>
    <w:p>
      <w:pPr>
        <w:spacing w:after="240" w:line="240" w:lineRule="auto"/>
        <w:jc w:val="both"/>
      </w:pPr>
      <w:r>
        <w:rPr>
          <w:rFonts w:ascii="Times New Roman" w:hAnsi="Times New Roman" w:cs="Times New Roman" w:eastAsia="Times New Roman"/>
          <w:b w:val="0"/>
          <w:i w:val="0"/>
          <w:sz w:val="24"/>
        </w:rPr>
        <w:t>La División de Horas y Salarios del Departamento del Trabajo federal, en su Hoja Informativa Núm. 16, revisada en julio de 2009, sobre descuentos por uniformes y otras facilidades bajo la FLSA, explica lo siguiente:</w:t>
      </w:r>
    </w:p>
    <w:p>
      <w:pPr>
        <w:spacing w:after="240" w:line="240" w:lineRule="auto"/>
        <w:ind w:left="720" w:right="720"/>
        <w:jc w:val="both"/>
      </w:pPr>
      <w:r>
        <w:rPr>
          <w:rFonts w:ascii="Times New Roman" w:hAnsi="Times New Roman" w:cs="Times New Roman" w:eastAsia="Times New Roman"/>
          <w:b w:val="0"/>
          <w:i w:val="0"/>
          <w:sz w:val="24"/>
        </w:rPr>
        <w:t xml:space="preserve">Uniforms: The FLSA does not require that employees wear uniforms. However, if the wearing of a uniform is required by some other law, the nature of a business, or by an employer, the cost and maintenance of the uniform is considered to be a business expense of the employer. If the employer requires the employee to bear the cost, </w:t>
      </w:r>
      <w:r>
        <w:rPr>
          <w:rFonts w:ascii="Times New Roman" w:hAnsi="Times New Roman" w:cs="Times New Roman" w:eastAsia="Times New Roman"/>
          <w:b/>
          <w:i w:val="0"/>
          <w:sz w:val="24"/>
        </w:rPr>
        <w:t>it may not reduce the employee's wage below the minimum wage of $7.25 per hour</w:t>
      </w:r>
      <w:r>
        <w:rPr>
          <w:rFonts w:ascii="Times New Roman" w:hAnsi="Times New Roman" w:cs="Times New Roman" w:eastAsia="Times New Roman"/>
          <w:b w:val="0"/>
          <w:i w:val="0"/>
          <w:sz w:val="24"/>
        </w:rPr>
        <w:t xml:space="preserve"> effective July 24, 2009. Nor may that cost cut into overtime compensation required by the Act. [...] Other Items: Employers at times require employees to pay or reimburse the employer for other items. The cost of any items which are considered primarily for the benefit or convenience of the employer would have the same restrictions as apply to reimbursement for uniforms. [...] Some examples of items which would be considered to be for the benefit or convenience of the employer are </w:t>
      </w:r>
      <w:r>
        <w:rPr>
          <w:rFonts w:ascii="Times New Roman" w:hAnsi="Times New Roman" w:cs="Times New Roman" w:eastAsia="Times New Roman"/>
          <w:b/>
          <w:i w:val="0"/>
          <w:sz w:val="24"/>
        </w:rPr>
        <w:t>tools used in the employee's work</w:t>
      </w:r>
      <w:r>
        <w:rPr>
          <w:rFonts w:ascii="Times New Roman" w:hAnsi="Times New Roman" w:cs="Times New Roman" w:eastAsia="Times New Roman"/>
          <w:b w:val="0"/>
          <w:i w:val="0"/>
          <w:sz w:val="24"/>
        </w:rPr>
        <w:t xml:space="preserve"> [...]. Employees may not be required to pay for any of the cost of such items if, by so doing, their wages would be reduced below the required minimum wage or overtime compensation. [...] Employers may not avoid FLSA minimum wage and overtime requirements by having the employee reimburse the employer in cash for the cost of such items in lieu of deducting the cost from the employee's wages.</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La misma agencia, en su carta de opinión FLSA2004-1NA de 30 de marzo de 2004, sobre prendas exigidas por un patrono como uniformes bajo la FLSA, distingue entre un uniforme y la exigencia de un tipo general de ropa corriente:</w:t>
      </w:r>
    </w:p>
    <w:p>
      <w:pPr>
        <w:spacing w:after="240" w:line="240" w:lineRule="auto"/>
        <w:ind w:left="720" w:right="720"/>
        <w:jc w:val="both"/>
      </w:pPr>
      <w:r>
        <w:rPr>
          <w:rFonts w:ascii="Times New Roman" w:hAnsi="Times New Roman" w:cs="Times New Roman" w:eastAsia="Times New Roman"/>
          <w:b w:val="0"/>
          <w:i w:val="0"/>
          <w:sz w:val="24"/>
        </w:rPr>
        <w:t xml:space="preserve">Whether certain types of dress that an employer requires employees to wear to work are considered uniforms for purposes of the Fair Labor Standards Act (FLSA) is a question of fact to be decided in the context of a given case. Although there are no hard-and-fast rules, the following principles are applicable. If an employer merely </w:t>
      </w:r>
      <w:r>
        <w:rPr>
          <w:rFonts w:ascii="Times New Roman" w:hAnsi="Times New Roman" w:cs="Times New Roman" w:eastAsia="Times New Roman"/>
          <w:b/>
          <w:i w:val="0"/>
          <w:sz w:val="24"/>
        </w:rPr>
        <w:t>prescribes a general type of ordinary basic street clothing to be worn while working and permits variations in details of dress</w:t>
      </w:r>
      <w:r>
        <w:rPr>
          <w:rFonts w:ascii="Times New Roman" w:hAnsi="Times New Roman" w:cs="Times New Roman" w:eastAsia="Times New Roman"/>
          <w:b w:val="0"/>
          <w:i w:val="0"/>
          <w:sz w:val="24"/>
        </w:rPr>
        <w:t xml:space="preserve">, the garments chosen by the employees would not be considered to be uniforms. On the other hand, where the employer does prescribe </w:t>
      </w:r>
      <w:r>
        <w:rPr>
          <w:rFonts w:ascii="Times New Roman" w:hAnsi="Times New Roman" w:cs="Times New Roman" w:eastAsia="Times New Roman"/>
          <w:b/>
          <w:i w:val="0"/>
          <w:sz w:val="24"/>
        </w:rPr>
        <w:t>a specific type and style of clothing</w:t>
      </w:r>
      <w:r>
        <w:rPr>
          <w:rFonts w:ascii="Times New Roman" w:hAnsi="Times New Roman" w:cs="Times New Roman" w:eastAsia="Times New Roman"/>
          <w:b w:val="0"/>
          <w:i w:val="0"/>
          <w:sz w:val="24"/>
        </w:rPr>
        <w:t xml:space="preserve"> to be worn at work, e.g. where a restaurant or hotel requires a tuxedo or a skirt and blouse or jacket of a specific or distinctive style, color, and quality, such clothing would be considered uniforms.</w:t>
      </w:r>
    </w:p>
    <w:p>
      <w:pPr>
        <w:spacing w:after="240" w:line="240" w:lineRule="auto"/>
        <w:ind w:left="720" w:right="720"/>
        <w:jc w:val="right"/>
      </w:pPr>
      <w:r>
        <w:rPr>
          <w:rFonts w:ascii="Times New Roman" w:hAnsi="Times New Roman" w:cs="Times New Roman" w:eastAsia="Times New Roman"/>
          <w:b/>
          <w:i w:val="0"/>
          <w:sz w:val="24"/>
        </w:rPr>
        <w:t>Énfasis suplido.</w:t>
      </w:r>
    </w:p>
    <w:p>
      <w:pPr>
        <w:spacing w:after="240" w:line="240" w:lineRule="auto"/>
        <w:jc w:val="both"/>
      </w:pPr>
      <w:r>
        <w:rPr>
          <w:rFonts w:ascii="Times New Roman" w:hAnsi="Times New Roman" w:cs="Times New Roman" w:eastAsia="Times New Roman"/>
          <w:b w:val="0"/>
          <w:i w:val="0"/>
          <w:sz w:val="24"/>
        </w:rPr>
        <w:t>En el plano jurisprudencial, no hemos localizado opinión alguna del Tribunal Supremo de Puerto Rico ni sentencia del Tribunal de Apelaciones que resuelva la obligación de un patrono, municipal o privado, de sufragar botas o calzado exigido a sus empleados, ni que interprete la Sección 6(b) de la Ley 16-1975 o la disposición de uniformes de la Ley 180-1998 en ese contexto. Se consultaron los repositorios de ambos foros del Poder Judicial mediante búsqueda por términos. Por ello, esta opinión no cita jurisprudencia y descansa en el texto de las fuentes estatutarias, reglamentarias e interpretativas citadas.</w:t>
      </w:r>
    </w:p>
    <w:p>
      <w:pPr>
        <w:spacing w:after="240" w:line="240" w:lineRule="auto"/>
        <w:jc w:val="left"/>
      </w:pPr>
      <w:r>
        <w:rPr>
          <w:rFonts w:ascii="Times New Roman" w:hAnsi="Times New Roman" w:cs="Times New Roman" w:eastAsia="Times New Roman"/>
          <w:b/>
          <w:i w:val="0"/>
          <w:sz w:val="24"/>
        </w:rPr>
        <w:t>II. Aplicación del derecho a los hechos</w:t>
      </w:r>
    </w:p>
    <w:p>
      <w:pPr>
        <w:spacing w:after="240" w:line="240" w:lineRule="auto"/>
        <w:jc w:val="both"/>
      </w:pPr>
      <w:r>
        <w:rPr>
          <w:rFonts w:ascii="Times New Roman" w:hAnsi="Times New Roman" w:cs="Times New Roman" w:eastAsia="Times New Roman"/>
          <w:b w:val="0"/>
          <w:i w:val="0"/>
          <w:sz w:val="24"/>
        </w:rPr>
        <w:t>La pregunta legal correcta es, por tanto, si el Municipio de Naguabo puede exigir a sus trabajadores de campo el uso de calzado cerrado o de botas regulares de trabajo, sin sufragarlo, y sancionar al empleado que se presente en chancletas, y bajo qué mecanismo debe hacerlo. Para contestarla hay que distinguir tres cuestiones. La primera es si la bota regular es equipo de protección personal que el patrono deba pagar. La segunda es si la regla convierte la bota en un uniforme que el patrono deba sufragar. La tercera es cómo debe adoptarse y aplicarse la regla en el sistema de personal de Naguabo.</w:t>
      </w:r>
    </w:p>
    <w:p>
      <w:pPr>
        <w:spacing w:after="240" w:line="240" w:lineRule="auto"/>
        <w:jc w:val="both"/>
      </w:pPr>
      <w:r>
        <w:rPr>
          <w:rFonts w:ascii="Times New Roman" w:hAnsi="Times New Roman" w:cs="Times New Roman" w:eastAsia="Times New Roman"/>
          <w:b w:val="0"/>
          <w:i w:val="0"/>
          <w:sz w:val="24"/>
        </w:rPr>
        <w:t>En primer lugar, la bota regular de trabajo no es equipo de protección personal y su costo no recae en el patrono. La Sección 6(b) de la Ley 16-1975 obliga al patrono a proveer sin costo "el equipo de protección personal, según sea prescrito o requerido por el Secretario, o que sea razonablemente necesario". La bota regular, sin puntera ni atributo de protección, no es equipo prescrito por el Secretario ni razonablemente necesario para controlar un riesgo. La norma federal que PR OSHA administra lo confirma de forma expresa. La obligación de pago del 29 CFR § 1910.132(h) alcanza al equipo "used to comply with this part", y el inciso (h)(4)(ii) excluye la ropa cotidiana, incluidos los zapatos de calle y las "normal work boots". Según los hechos informados, el Municipio no exige botas de seguridad con puntera, metatarsales, dieléctricas ni de otro tipo especializado, sino botas regulares. En ese supuesto, la regla de calzado cerrado es una norma de vestimenta y de seguridad básica que el patrono puede imponer sin costearla. La carta interpretativa de OSHA de 2003 confirma que la agencia no tiene una política sobre calzado abierto y que el asunto se rige por el riesgo del puesto, de modo que, en ausencia de riesgo que exija calzado protector, la prohibición de chancletas queda en el ámbito de la facultad de dirección del patrono, reforzada por el deber de cada empleado, bajo la Sección 6(g) de la Ley 16-1975, de no descuidarse en hacer "todo aquello que sea razonablemente necesario para proteger la seguridad y la vida de él mismo o de otros empleados".</w:t>
      </w:r>
    </w:p>
    <w:p>
      <w:pPr>
        <w:spacing w:after="240" w:line="240" w:lineRule="auto"/>
        <w:jc w:val="both"/>
      </w:pPr>
      <w:r>
        <w:rPr>
          <w:rFonts w:ascii="Times New Roman" w:hAnsi="Times New Roman" w:cs="Times New Roman" w:eastAsia="Times New Roman"/>
          <w:b w:val="0"/>
          <w:i w:val="0"/>
          <w:sz w:val="24"/>
        </w:rPr>
        <w:t>No obstante, esta conclusión depende de un presupuesto de hecho que la propia documentación del Municipio pone en duda. El 29 CFR § 1910.132(d)(1) exige al patrono evaluar el lugar de trabajo para determinar si existen riesgos que requieran equipo de protección personal, el inciso (d)(2) exige certificar esa evaluación por escrito, y el 29 CFR § 1910.136(a) exige calzado protector cuando existe peligro de lesión en los pies por objetos que caen o ruedan, por objetos que perforan la suela o por riesgo eléctrico. La especificación de la clase Trabajador, aprobada por la Alcaldesa al amparo del Artículo 2.047 del Código Municipal, asigna a esa clase el recogido de escombros y su depósito en el camión de basura, la limpieza de zanjas, cunetones y alcantarillas, el corte de árboles y poda de ramas, la participación en la brigada de asfalto, la reparación e instalación de neumáticos de vehículos de motor, el lavado a presión de calles y aceras y la mudanza de equipos, muebles y materiales. Esas tareas son, precisamente, las que generan peligro de objetos que caen o ruedan sobre los pies, de perforación de la suela por escombros y de superficies mojadas. La especificación, además, exige al empleado "[c]onocimiento de los riesgos ocupacionales y las medidas de seguridad requeridas para realizar sus funciones" y "[h]abilidad para realizar trabajo de campo expuesto a riesgos moderado que conlleve esfuerzo físico fuerte". El Municipio ha reconocido, por tanto, en un documento oficial que forma parte de su plan de clasificación, que la clase está expuesta a riesgos ocupacionales. Ese reconocimiento no equivale a la evaluación de riesgos que exige el 29 CFR § 1910.132(d), pero anticipa su resultado probable y sería la primera prueba que un inspector de PR OSHA examinaría tras un accidente. Es muy probable que una evaluación de riesgos hecha de buena fe concluya que, al menos para las tareas de escombros, asfalto, neumáticos, árboles y mudanza, se requiere calzado protector con puntera conforme al 29 CFR § 1910.136, y que para el lavado a presión y la limpieza de zanjas y alcantarillas se requiera, además, calzado impermeable con puntera.</w:t>
      </w:r>
    </w:p>
    <w:p>
      <w:pPr>
        <w:spacing w:after="240" w:line="240" w:lineRule="auto"/>
        <w:jc w:val="both"/>
      </w:pPr>
      <w:r>
        <w:rPr>
          <w:rFonts w:ascii="Times New Roman" w:hAnsi="Times New Roman" w:cs="Times New Roman" w:eastAsia="Times New Roman"/>
          <w:b w:val="0"/>
          <w:i w:val="0"/>
          <w:sz w:val="24"/>
        </w:rPr>
        <w:t>Si la evaluación llega a esa conclusión, la consecuencia en Puerto Rico es más exigente que bajo la norma federal, y este es el punto central de la opinión. Bajo la norma federal, el 29 CFR § 1910.132(h)(2) permite al patrono no pagar el calzado corriente con puntera de seguridad si permite su uso fuera del trabajo, como explica la carta de OSHA de 9 de diciembre de 2013. Pero la Sección 6(b) de la Ley 16-1975 ordena al patrono proveer y asegurar el uso del equipo de protección personal razonablemente necesario "sin costo alguno para cualquier empleado", sin excepción para el calzado con puntera ni para ningún otro equipo. El 29 USC § 667(c)(2) exige que las normas del plan estatal sean "at least as effective" que las federales, lo que permite al plan estatal ser más protector, y la propia carta de OSHA de 2013 advierte que los planes estatales pueden tener "additional or more stringent requirements". La Sección 8(a) de la Ley 16-1975 hace discrecional la adopción de las normas federales por el Secretario, y el índice de normas de PR OSHA lista la regla federal de pago de equipo de protección personal de 2007 como no adoptada, lo que es coherente con que el estatuto local ya contenía una regla de pago más amplia. En consecuencia, si la evaluación de riesgos determina que el trabajador requiere calzado protector, el Municipio deberá proveerlo sin costo alguno al empleado, incluida la bota corriente con puntera, y deberá reemplazarlo cuando se desgaste. La excepción federal para el calzado con puntera no especializado no es invocable por un patrono municipal de Puerto Rico. Por la misma razón, la regla de calzado cerrado que se consulta debe entenderse como el mínimo inmediato para eliminar las chancletas, no como el punto final del cumplimiento del Municipio.</w:t>
      </w:r>
    </w:p>
    <w:p>
      <w:pPr>
        <w:spacing w:after="240" w:line="240" w:lineRule="auto"/>
        <w:jc w:val="both"/>
      </w:pPr>
      <w:r>
        <w:rPr>
          <w:rFonts w:ascii="Times New Roman" w:hAnsi="Times New Roman" w:cs="Times New Roman" w:eastAsia="Times New Roman"/>
          <w:b w:val="0"/>
          <w:i w:val="0"/>
          <w:sz w:val="24"/>
        </w:rPr>
        <w:t>En segundo lugar, la regla de calzado cerrado no convierte la bota en un uniforme siempre que se diseñe como la exigencia de un tipo general de ropa corriente. Bajo la FLSA, la carta de opinión FLSA2004-1NA distingue entre prescribir "a general type of ordinary basic street clothing" con variaciones permitidas, que no es uniforme, y prescribir "a specific type and style of clothing" de estilo, color y calidad distintivos, que sí lo es. Si el Municipio exige calzado cerrado, bota o zapato de trabajo de cualquier marca, color, modelo o estilo, sin logo ni identificación municipal, está prescribiendo un tipo general de ropa corriente, y el empleado escoge la prenda como parte de su vestimenta personal. Bajo ese diseño no hay uniforme que sufragar bajo la FLSA. La única limitación federal es la de la Hoja Informativa 16 y del 29 CFR § 531.3(d)(2)(i). Si el Municipio exigiera un artículo que sea herramienta del oficio o que redunde primordialmente en su beneficio, el costo no podría reducir la paga de la semana por debajo del salario mínimo federal ni de las horas extra debidas, ni por descuento ni por reembolso en efectivo.</w:t>
      </w:r>
    </w:p>
    <w:p>
      <w:pPr>
        <w:spacing w:after="240" w:line="240" w:lineRule="auto"/>
        <w:jc w:val="both"/>
      </w:pPr>
      <w:r>
        <w:rPr>
          <w:rFonts w:ascii="Times New Roman" w:hAnsi="Times New Roman" w:cs="Times New Roman" w:eastAsia="Times New Roman"/>
          <w:b w:val="0"/>
          <w:i w:val="0"/>
          <w:sz w:val="24"/>
        </w:rPr>
        <w:t>Ese límite tampoco es teórico para esta clase. La especificación asigna la clase Trabajador a la Escala Número 1, cuyo sueldo mínimo de mil doscientos ochenta y nueve (1,289) dólares mensuales equivale a unos siete dólares con cuarenta y cuatro centavos ($7.44) por hora sobre una base de dos mil ochenta (2,080) horas anuales, apenas diecinueve (19) centavos por hora sobre el salario mínimo federal de siete dólares con veinticinco centavos ($7.25). En una semana de cuarenta (40) horas, el margen sobre el mínimo federal es de unos siete dólares con cuarenta y seis centavos ($7.46). Si el Municipio pretendiera que un trabajador en el escalón mínimo comprara con su propio dinero calzado protector exigido por el puesto, el costo de esa compra reduciría la paga de la semana por debajo del mínimo federal en violación de la FLSA. Como la Sección 6(b) de la Ley 16-1975 ya obliga al Municipio a proveer ese calzado sin costo, la FLSA opera aquí como una segunda barrera, no como la principal. Este problema no surge con la regla de calzado cerrado de tipo general, porque la ropa corriente de libre elección no es una herramienta del oficio. Advertimos, por último, que la Ley 47-2021 fija un salario mínimo estatal superior al federal, pero las fuentes localizadas indican que excluye a los empleados de los gobiernos municipales, por lo que el mínimo aplicable a esta comparación es el federal. [CITA POR VERIFICAR: confirmar la exclusión de los gobiernos municipales en la Ley 47-2021.] En todo caso, el Municipio debe abstenerse de exigir un calzado de costo desproporcionado y, sobre todo, de descontar su costo de la nómina.</w:t>
      </w:r>
    </w:p>
    <w:p>
      <w:pPr>
        <w:spacing w:after="240" w:line="240" w:lineRule="auto"/>
        <w:jc w:val="both"/>
      </w:pPr>
      <w:r>
        <w:rPr>
          <w:rFonts w:ascii="Times New Roman" w:hAnsi="Times New Roman" w:cs="Times New Roman" w:eastAsia="Times New Roman"/>
          <w:b w:val="0"/>
          <w:i w:val="0"/>
          <w:sz w:val="24"/>
        </w:rPr>
        <w:t>El mismo diseño protege al Municipio frente a la disposición de uniformes de la Ley 180-1998, 29 LPRA § 250e. Esa disposición obliga al patrono que "requiera a sus empleados el uso de uniformes" a sufragarlos, bajo sanción penal. Históricamente, el Artículo 3 de esa ley excluía a los empleados de los gobiernos municipales, pero las fuentes localizadas indican que la Ley 47-2021 derogó ese artículo, y no hemos podido confirmar si la exclusión subsiste en el texto vigente. Por prudencia, esta opinión no descansa en la exclusión municipal. La solución correcta es que la regla no constituya un uniforme, lo que se logra si el Municipio no prescribe una bota específica, no exige color, modelo ni identificación, y deja al empleado la elección del calzado cerrado que prefiera. La Ley 180-1998 no define el término uniforme y no hemos localizado jurisprudencia local que lo interprete, por lo que el criterio federal del tipo general de ropa corriente es persuasivo, no vinculante, y por ello recomendamos que la regla lo incorpore de forma expresa.</w:t>
      </w:r>
    </w:p>
    <w:p>
      <w:pPr>
        <w:spacing w:after="240" w:line="240" w:lineRule="auto"/>
        <w:jc w:val="both"/>
      </w:pPr>
      <w:r>
        <w:rPr>
          <w:rFonts w:ascii="Times New Roman" w:hAnsi="Times New Roman" w:cs="Times New Roman" w:eastAsia="Times New Roman"/>
          <w:b w:val="0"/>
          <w:i w:val="0"/>
          <w:sz w:val="24"/>
        </w:rPr>
        <w:t>En tercer lugar, la facultad del Municipio para imponer la regla es clara, pero su ejercicio requiere un instrumento escrito y notificado. El Artículo 1.018(m) del Código Municipal faculta a la Alcaldesa a "[p]romulgar las reglas a que estarán sujetos los funcionarios y empleados municipales en el cumplimiento de sus deberes y obligaciones". El Artículo 2.005(c) y (e) faculta a los directores de unidades administrativas a impartir instrucciones específicas y a velar por el cumplimiento de las normas. El Artículo 2.052(a)(4) y (8) obliga a todo empleado, con independencia de su estado legal, a acatar las órdenes de sus supervisores y a cumplir las reglas adoptadas en virtud del Código, y la Sección 6(e), (f) y (g) de la Ley 16-1975 obliga a cada empleado a cumplir las reglas de seguridad aplicables a su conducta, a usar el equipo de protección que el patrono le suministre y a no dejar de hacer lo razonablemente necesario para proteger su seguridad. Ahora bien, la Sección 9.3 del Reglamento de Naguabo dispone que las reglas de conducta de los empleados y las acciones disciplinarias aplicables a esas reglas "[s]e establecerá[n] mediante reglamentación interna", y que se orientará a los empleados sobre esa reglamentación. El Reglamento vigente no contiene regla alguna sobre vestimenta o calzado. Por tanto, una instrucción verbal o una práctica de los supervisores no basta para sostener una acción disciplinaria formal. El Municipio debe adoptar la regla por escrito, mediante una orden administrativa de la Alcaldesa o una norma interna de vestimenta y seguridad para el personal de campo emitida al amparo del Artículo 1.018(m) del Código Municipal, de la Sección 6 de la Ley 16-1975 y de la Sección 9.3 del Reglamento, notificarla individualmente con acuse de recibo y conceder un plazo razonable de transición antes de aplicarla.</w:t>
      </w:r>
    </w:p>
    <w:p>
      <w:pPr>
        <w:spacing w:after="240" w:line="240" w:lineRule="auto"/>
        <w:jc w:val="both"/>
      </w:pPr>
      <w:r>
        <w:rPr>
          <w:rFonts w:ascii="Times New Roman" w:hAnsi="Times New Roman" w:cs="Times New Roman" w:eastAsia="Times New Roman"/>
          <w:b w:val="0"/>
          <w:i w:val="0"/>
          <w:sz w:val="24"/>
        </w:rPr>
        <w:t>El contenido mínimo de esa norma debe ser el siguiente. Calzado cerrado obligatorio durante toda la jornada para el personal de campo, con prohibición expresa de chancletas, sandalias, calzado abierto de punta o de talón y calzado sin suela firme. Libertad del empleado para escoger cualquier bota o zapato de trabajo cerrado, sin marca, color, modelo ni identificación municipal, con la declaración expresa de que el Municipio no establece un uniforme de calzado y de que el empleado lo adquiere como parte de su vestimenta personal. Prohibición de descuentos de nómina por este concepto, en armonía con la Sección 5 de la Ley 17-1931 y con la FLSA. Verificación por el supervisor inmediato al inicio de la jornada. Un plazo de transición de treinta (30) días desde la notificación. La advertencia de que el incumplimiento constituye violación del Artículo 2.052(a)(4) y (8) del Código Municipal, de la Sección 9.2 del Reglamento y de la Sección 6(e) y (g) de la Ley 16-1975, sujeta a las acciones disciplinarias de la Sección 9.3. Y una cláusula que disponga que, para las tareas o puestos en que la evaluación de riesgos identifique la necesidad de calzado protector, el Municipio lo proveerá sin costo conforme a la Sección 6(b) de la Ley 16-1975 y el empleado estará obligado a usarlo conforme a la Sección 6(f).</w:t>
      </w:r>
    </w:p>
    <w:p>
      <w:pPr>
        <w:spacing w:after="240" w:line="240" w:lineRule="auto"/>
        <w:jc w:val="both"/>
      </w:pPr>
      <w:r>
        <w:rPr>
          <w:rFonts w:ascii="Times New Roman" w:hAnsi="Times New Roman" w:cs="Times New Roman" w:eastAsia="Times New Roman"/>
          <w:b w:val="0"/>
          <w:i w:val="0"/>
          <w:sz w:val="24"/>
        </w:rPr>
        <w:t>En cuanto a la consecuencia para el empleado que se presente en chancletas una vez vigente la norma, el Municipio tiene dos opciones, que pueden combinarse. La primera es la medida operacional inmediata. El supervisor no debe asignar a labores de campo al empleado que carezca de calzado cerrado, porque hacerlo expondría al Municipio al riesgo de un accidente previsible y a una violación de la Sección 6(a) de la Ley 16-1975. El empleado puede ser retenido en tareas seguras dentro de la dependencia o enviado a corregir su calzado, con cargo a su tiempo, según lo disponga la norma. La segunda es la medida disciplinaria progresiva conforme al Artículo 2.053 del Código Municipal y a la Sección 9.3 del Reglamento. La amonestación verbal y la reprimenda escrita pueden imponerse por la Autoridad Nominadora o su representante autorizado sin formulación de cargos, y son las medidas idóneas para la primera y la segunda infracción. La suspensión de empleo y sueldo y la destitución requieren justa causa, formulación de cargos por escrito, advertencia del derecho a solicitar vista informal dentro de diez (10) días y determinación final de la Alcaldesa con advertencia del derecho de apelación ante la Comisión Apelativa del Servicio Público. Esas medidas quedan reservadas para la reincidencia contumaz. Para los empleados transitorios, la Sección 9.8 del Reglamento exige el mismo procedimiento de la Sección 9.3 para separarlos antes del vencimiento de su nombramiento, y el Artículo 2.052 del Código Municipal les aplica por igual, de modo que la norma debe extenderse a ellos por su propio texto, dado que el Artículo 4 del Reglamento limita su aplicación al servicio de carrera. Advertimos que enviar a un empleado a su casa sin paga por el resto de la jornada es, en sustancia, una suspensión de empleo y sueldo, y no debe practicarse sin el procedimiento de la Sección 9.3. La suspensión sumaria con sueldo que autoriza esa Sección para situaciones de peligro real o potencial a la salud o vida de los empleados es la vía correcta si el Municipio entiende que el empleado en chancletas no puede permanecer en el área de trabajo ese día.</w:t>
      </w:r>
    </w:p>
    <w:p>
      <w:pPr>
        <w:spacing w:after="240" w:line="240" w:lineRule="auto"/>
        <w:jc w:val="both"/>
      </w:pPr>
      <w:r>
        <w:rPr>
          <w:rFonts w:ascii="Times New Roman" w:hAnsi="Times New Roman" w:cs="Times New Roman" w:eastAsia="Times New Roman"/>
          <w:b w:val="0"/>
          <w:i w:val="0"/>
          <w:sz w:val="24"/>
        </w:rPr>
        <w:t>En cuarto lugar, el Municipio puede, sin estar obligado a ello mientras el calzado sea ropa corriente, facilitar el cumplimiento mediante un beneficio. El Artículo 2.056(q)(1)(viii) del Código Municipal autoriza a incorporar al reglamento, conforme a la capacidad presupuestaria, "uniformes a todo empleado que lo requiera por la naturaleza del servicio que realiza", y el Artículo 1.018(n) faculta a la Alcaldesa a propiciar programas que contribuyan al clima de trabajo. Otros municipios han aprobado por ordenanza una obvención anual para la compra de botas de trabajo por parte del personal de campo. Si el Municipio de Naguabo opta por esa vía, el beneficio debe establecerse por ordenanza o por enmienda al plan de retribución aprobada por la Legislatura Municipal, con partida presupuestaria, porque de lo contrario el desembolso carecería de base legal y se expondría a un señalamiento de la Oficina del Contralor de Puerto Rico. Debe advertirse, sin embargo, que si el Municipio adopta un beneficio de uniformes bajo ese inciso, conviene que la ordenanza lo describa como subsidio para calzado de trabajo de libre elección, y no como uniforme exigido, para no activar la disposición de uniformes de la Ley 180-1998 en caso de que la exclusión municipal haya desaparecido. Distinto es el caso del calzado protector que la evaluación de riesgos identifique como necesario. Ese no es un beneficio discrecional sino una obligación de la Sección 6(b) de la Ley 16-1975, y su adquisición debe presupuestarse como gasto de seguridad ocupacional y tramitarse por compra o subasta conforme al Código Municipal, con entrega en especie y registro, que es la forma que mejor acredita el cumplimiento de la especificación técnica del 29 CFR § 1910.136(b) y del deber de reemplazo.</w:t>
      </w:r>
    </w:p>
    <w:p>
      <w:pPr>
        <w:spacing w:after="240" w:line="240" w:lineRule="auto"/>
        <w:jc w:val="both"/>
      </w:pPr>
      <w:r>
        <w:rPr>
          <w:rFonts w:ascii="Times New Roman" w:hAnsi="Times New Roman" w:cs="Times New Roman" w:eastAsia="Times New Roman"/>
          <w:b w:val="0"/>
          <w:i w:val="0"/>
          <w:sz w:val="24"/>
        </w:rPr>
        <w:t>Existen, por tanto, dos alternativas para la regla de calzado cerrado, además del deber independiente sobre el calzado protector. La primera es adoptar únicamente la norma de calzado cerrado de tipo general, sin subsidio, notificarla y aplicarla con disciplina progresiva. Es la opción de menor costo y de plena base legal, y es defendible porque la bota regular es ropa cotidiana que el empleado adquiere para sí. La segunda es adoptar la misma norma acompañada de una obvención por ordenanza. Es la opción que reduce la resistencia del personal y el riesgo de reclamaciones, a cambio de un costo recurrente y de la necesidad de acción legislativa municipal. En ambas alternativas, la evaluación de riesgos certificada por escrito es indispensable, porque es la que determina si la bota regular basta o si el Municipio debe pasar a un calzado protector que, en Puerto Rico, tendrá que proveer sin costo.</w:t>
      </w:r>
    </w:p>
    <w:p>
      <w:pPr>
        <w:spacing w:after="240" w:line="240" w:lineRule="auto"/>
        <w:jc w:val="left"/>
      </w:pPr>
      <w:r>
        <w:rPr>
          <w:rFonts w:ascii="Times New Roman" w:hAnsi="Times New Roman" w:cs="Times New Roman" w:eastAsia="Times New Roman"/>
          <w:b/>
          <w:i w:val="0"/>
          <w:sz w:val="24"/>
        </w:rPr>
        <w:t>III. Conclusión</w:t>
      </w:r>
    </w:p>
    <w:p>
      <w:pPr>
        <w:spacing w:after="240" w:line="240" w:lineRule="auto"/>
        <w:jc w:val="both"/>
      </w:pPr>
      <w:r>
        <w:rPr>
          <w:rFonts w:ascii="Times New Roman" w:hAnsi="Times New Roman" w:cs="Times New Roman" w:eastAsia="Times New Roman"/>
          <w:b w:val="0"/>
          <w:i w:val="0"/>
          <w:sz w:val="24"/>
        </w:rPr>
        <w:t>A la luz de lo anterior, y de una lectura integral del marco constitucional, federal, estatutario, reglamentario, e interpretativo aplicable, concluimos lo siguiente.</w:t>
      </w:r>
    </w:p>
    <w:p>
      <w:pPr>
        <w:spacing w:after="240" w:line="240" w:lineRule="auto"/>
        <w:jc w:val="both"/>
      </w:pPr>
      <w:r>
        <w:rPr>
          <w:rFonts w:ascii="Times New Roman" w:hAnsi="Times New Roman" w:cs="Times New Roman" w:eastAsia="Times New Roman"/>
          <w:b/>
          <w:i w:val="0"/>
          <w:sz w:val="24"/>
        </w:rPr>
        <w:t xml:space="preserve">Primero, </w:t>
      </w:r>
      <w:r>
        <w:rPr>
          <w:rFonts w:ascii="Times New Roman" w:hAnsi="Times New Roman" w:cs="Times New Roman" w:eastAsia="Times New Roman"/>
          <w:b w:val="0"/>
          <w:i w:val="0"/>
          <w:sz w:val="24"/>
        </w:rPr>
        <w:t>el Municipio de Naguabo puede exigir a sus trabajadores de campo el uso de calzado cerrado o de botas regulares de trabajo y prohibir el uso de chancletas, al amparo del Artículo 1.018(m) del Código Municipal, del deber de obediencia del Artículo 2.052(a)(4) y (8) del mismo Código y de la Sección 9.2 del Reglamento, de su deber como patrono bajo la Sección 6(a) de la Ley 16-1975 de proveer un sitio de empleo libre de riesgos reconocidos, y del deber correlativo de cada empleado bajo la Sección 6(e) y (g) de esa ley.</w:t>
      </w:r>
    </w:p>
    <w:p>
      <w:pPr>
        <w:spacing w:after="240" w:line="240" w:lineRule="auto"/>
        <w:jc w:val="both"/>
      </w:pPr>
      <w:r>
        <w:rPr>
          <w:rFonts w:ascii="Times New Roman" w:hAnsi="Times New Roman" w:cs="Times New Roman" w:eastAsia="Times New Roman"/>
          <w:b/>
          <w:i w:val="0"/>
          <w:sz w:val="24"/>
        </w:rPr>
        <w:t xml:space="preserve">Segundo, </w:t>
      </w:r>
      <w:r>
        <w:rPr>
          <w:rFonts w:ascii="Times New Roman" w:hAnsi="Times New Roman" w:cs="Times New Roman" w:eastAsia="Times New Roman"/>
          <w:b w:val="0"/>
          <w:i w:val="0"/>
          <w:sz w:val="24"/>
        </w:rPr>
        <w:t>la bota regular de trabajo, sin puntera ni atributo de protección, no es equipo de protección personal bajo la Sección 6(b) de la Ley 16-1975 ni bajo el 29 CFR § 1910.132, cuyo inciso (h)(4)(ii) la excluye de forma expresa como ropa cotidiana, por lo que el Municipio no viene obligado a pagarla mientras la evaluación de riesgos por puesto no identifique un peligro de lesión en los pies que exija calzado protector conforme al 29 CFR § 1910.136(a).</w:t>
      </w:r>
    </w:p>
    <w:p>
      <w:pPr>
        <w:spacing w:after="240" w:line="240" w:lineRule="auto"/>
        <w:jc w:val="both"/>
      </w:pPr>
      <w:r>
        <w:rPr>
          <w:rFonts w:ascii="Times New Roman" w:hAnsi="Times New Roman" w:cs="Times New Roman" w:eastAsia="Times New Roman"/>
          <w:b/>
          <w:i w:val="0"/>
          <w:sz w:val="24"/>
        </w:rPr>
        <w:t xml:space="preserve">Tercero, </w:t>
      </w:r>
      <w:r>
        <w:rPr>
          <w:rFonts w:ascii="Times New Roman" w:hAnsi="Times New Roman" w:cs="Times New Roman" w:eastAsia="Times New Roman"/>
          <w:b w:val="0"/>
          <w:i w:val="0"/>
          <w:sz w:val="24"/>
        </w:rPr>
        <w:t>la especificación de la clase Trabajador, número 2111, asigna a esa clase tareas de escombros, asfalto, neumáticos, corte de árboles, zanjas, alcantarillas, lavado a presión y mudanza de equipos, y reconoce de forma expresa la exposición a riesgos ocupacionales, por lo que es muy probable que la evaluación de riesgos concluya que se requiere calzado protector. Si así ocurre, la Sección 6(b) de la Ley 16-1975 obliga al Municipio a proveerlo y a asegurar su uso "sin costo alguno para cualquier empleado", incluida la bota corriente con puntera de seguridad, y a reemplazarlo. La excepción del 29 CFR § 1910.132(h)(2) para el calzado con puntera no especializado es una regla federal que la ley de Puerto Rico no contiene y que PR OSHA no adoptó, por lo que no es invocable por un patrono municipal. La regla de calzado cerrado debe tratarse como el mínimo inmediato, no como el cumplimiento final.</w:t>
      </w:r>
    </w:p>
    <w:p>
      <w:pPr>
        <w:spacing w:after="240" w:line="240" w:lineRule="auto"/>
        <w:jc w:val="both"/>
      </w:pPr>
      <w:r>
        <w:rPr>
          <w:rFonts w:ascii="Times New Roman" w:hAnsi="Times New Roman" w:cs="Times New Roman" w:eastAsia="Times New Roman"/>
          <w:b/>
          <w:i w:val="0"/>
          <w:sz w:val="24"/>
        </w:rPr>
        <w:t xml:space="preserve">Cuarto, </w:t>
      </w:r>
      <w:r>
        <w:rPr>
          <w:rFonts w:ascii="Times New Roman" w:hAnsi="Times New Roman" w:cs="Times New Roman" w:eastAsia="Times New Roman"/>
          <w:b w:val="0"/>
          <w:i w:val="0"/>
          <w:sz w:val="24"/>
        </w:rPr>
        <w:t>la regla debe diseñarse como la exigencia de un tipo general de calzado cerrado de libre elección, sin marca, color, modelo ni identificación municipal, para que no constituya un uniforme bajo la FLSA, conforme a la carta de opinión FLSA2004-1NA, ni bajo la disposición de uniformes de la Ley 180-1998, cuya exclusión de los gobiernos municipales no hemos podido confirmar tras la Ley 47-2021. Bajo ningún concepto debe el Municipio descontar de la nómina el costo del calzado ni exigir su reembolso, y menos aún en la Escala Número 1, cuyo sueldo mínimo equivale a unos siete dólares con cuarenta y cuatro centavos ($7.44) por hora, apenas por encima del mínimo federal.</w:t>
      </w:r>
    </w:p>
    <w:p>
      <w:pPr>
        <w:spacing w:after="240" w:line="240" w:lineRule="auto"/>
        <w:jc w:val="both"/>
      </w:pPr>
      <w:r>
        <w:rPr>
          <w:rFonts w:ascii="Times New Roman" w:hAnsi="Times New Roman" w:cs="Times New Roman" w:eastAsia="Times New Roman"/>
          <w:b/>
          <w:i w:val="0"/>
          <w:sz w:val="24"/>
        </w:rPr>
        <w:t xml:space="preserve">Quinto, </w:t>
      </w:r>
      <w:r>
        <w:rPr>
          <w:rFonts w:ascii="Times New Roman" w:hAnsi="Times New Roman" w:cs="Times New Roman" w:eastAsia="Times New Roman"/>
          <w:b w:val="0"/>
          <w:i w:val="0"/>
          <w:sz w:val="24"/>
        </w:rPr>
        <w:t>la regla debe adoptarse por escrito mediante orden administrativa de la Alcaldesa o norma interna de vestimenta y seguridad para el personal de campo, conforme exige la Sección 9.3 del Reglamento, notificarse individualmente con acuse de recibo, conceder un plazo de transición razonable, extenderse por su propio texto a los empleados transitorios, dado que el Artículo 4 del Reglamento limita su aplicación al servicio de carrera, y disponer que el calzado protector que la evaluación de riesgos identifique será provisto sin costo por el Municipio y usado obligatoriamente por el empleado.</w:t>
      </w:r>
    </w:p>
    <w:p>
      <w:pPr>
        <w:spacing w:after="240" w:line="240" w:lineRule="auto"/>
        <w:jc w:val="both"/>
      </w:pPr>
      <w:r>
        <w:rPr>
          <w:rFonts w:ascii="Times New Roman" w:hAnsi="Times New Roman" w:cs="Times New Roman" w:eastAsia="Times New Roman"/>
          <w:b/>
          <w:i w:val="0"/>
          <w:sz w:val="24"/>
        </w:rPr>
        <w:t xml:space="preserve">Sexto, </w:t>
      </w:r>
      <w:r>
        <w:rPr>
          <w:rFonts w:ascii="Times New Roman" w:hAnsi="Times New Roman" w:cs="Times New Roman" w:eastAsia="Times New Roman"/>
          <w:b w:val="0"/>
          <w:i w:val="0"/>
          <w:sz w:val="24"/>
        </w:rPr>
        <w:t>el empleado que se presente en chancletas una vez vigente la norma no debe ser asignado a labores de campo ese día, y queda sujeto a disciplina progresiva conforme al Artículo 2.053 del Código Municipal y a la Sección 9.3 del Reglamento. La amonestación verbal y la reprimenda escrita proceden sin formulación de cargos. La suspensión de empleo y sueldo y la destitución requieren justa causa, cargos por escrito, oportunidad de vista informal y advertencia del derecho de apelación ante la Comisión Apelativa del Servicio Público. Enviar al empleado a su casa sin paga sin ese procedimiento equivale a una suspensión de empleo y sueldo irregular.</w:t>
      </w:r>
    </w:p>
    <w:p>
      <w:pPr>
        <w:spacing w:after="240" w:line="240" w:lineRule="auto"/>
        <w:jc w:val="both"/>
      </w:pPr>
      <w:r>
        <w:rPr>
          <w:rFonts w:ascii="Times New Roman" w:hAnsi="Times New Roman" w:cs="Times New Roman" w:eastAsia="Times New Roman"/>
          <w:b/>
          <w:i w:val="0"/>
          <w:sz w:val="24"/>
        </w:rPr>
        <w:t xml:space="preserve">Séptimo, </w:t>
      </w:r>
      <w:r>
        <w:rPr>
          <w:rFonts w:ascii="Times New Roman" w:hAnsi="Times New Roman" w:cs="Times New Roman" w:eastAsia="Times New Roman"/>
          <w:b w:val="0"/>
          <w:i w:val="0"/>
          <w:sz w:val="24"/>
        </w:rPr>
        <w:t>el Municipio debe realizar, certificar por escrito conforme al 29 CFR § 1910.132(d)(2) y conservar de inmediato una evaluación de riesgos por clasificación de puesto para su personal de campo, comenzando por la clase Trabajador. Esa evaluación sostiene la regla de calzado cerrado, determina si la clase requiere calzado protector que el Municipio deba proveer sin costo, y sería la primera prueba que PR OSHA examinaría tras un accidente. Mientras la evaluación no se complete, tolerar trabajadores en chancletas en tareas de escombros, asfalto, neumáticos o mudanza constituye un incumplimiento manifiesto de la Sección 6(a) de la Ley 16-1975. Un subsidio para calzado de trabajo de libre elección sigue siendo opcional y, de aprobarse, requiere ordenanza o enmienda al plan de retribución con partida presupuestaria, al amparo del Artículo 2.056(q)(1)(viii) y del Artículo 1.018(n) del Código Municipal.</w:t>
      </w:r>
    </w:p>
    <w:p>
      <w:pPr>
        <w:spacing w:after="240" w:line="240" w:lineRule="auto"/>
        <w:jc w:val="both"/>
      </w:pPr>
      <w:r>
        <w:rPr>
          <w:rFonts w:ascii="Times New Roman" w:hAnsi="Times New Roman" w:cs="Times New Roman" w:eastAsia="Times New Roman"/>
          <w:b w:val="0"/>
          <w:i w:val="0"/>
          <w:sz w:val="24"/>
        </w:rPr>
        <w:t>Esta secuencia es la que mejor armoniza el deber constitucional y estatutario del Municipio de proteger la seguridad de sus trabajadores, que en Puerto Rico incluye la obligación de proveer sin costo el equipo de protección personal razonablemente necesario, la facultad de la Alcaldesa de reglamentar la conducta de los empleados y sancionar su incumplimiento, y las garantías procesales que el Código Municipal y el Reglamento de Naguabo reconocen a los empleados de carrera y transitorios, sin exponer al Municipio a reclamaciones salariales ni a señalamientos de la Oficina del Contralor. Recomendamos que, antes de la distribución final de esta opinión, se cotejen contra sus fuentes primarias las pocas autoridades que aún llevan las leyendas [TEXTO POR VERIFICAR] y [CITA POR VERIFICAR], y que se someta a nuestra revisión el borrador de la orden administrativa o norma interna que el Municipio se proponga adoptar.</w:t>
      </w:r>
    </w:p>
    <w:p>
      <w:pPr>
        <w:spacing w:after="240" w:line="240" w:lineRule="auto"/>
        <w:jc w:val="left"/>
      </w:pPr>
      <w:r>
        <w:rPr>
          <w:rFonts w:ascii="Times New Roman" w:hAnsi="Times New Roman" w:cs="Times New Roman" w:eastAsia="Times New Roman"/>
          <w:b w:val="0"/>
          <w:i w:val="0"/>
          <w:sz w:val="24"/>
        </w:rPr>
        <w:t>Atentamente,</w:t>
      </w:r>
    </w:p>
    <w:p>
      <w:pPr>
        <w:spacing w:after="0" w:line="240" w:lineRule="auto"/>
        <w:jc w:val="both"/>
      </w:pPr>
    </w:p>
    <w:p>
      <w:pPr>
        <w:spacing w:after="0" w:line="240" w:lineRule="auto"/>
        <w:jc w:val="both"/>
      </w:pPr>
    </w:p>
    <w:p>
      <w:pPr>
        <w:spacing w:after="0" w:line="240" w:lineRule="auto"/>
        <w:jc w:val="both"/>
      </w:pPr>
    </w:p>
    <w:p>
      <w:pPr>
        <w:spacing w:after="240" w:line="240" w:lineRule="auto"/>
        <w:jc w:val="left"/>
      </w:pPr>
      <w:r>
        <w:rPr>
          <w:rFonts w:ascii="Times New Roman" w:hAnsi="Times New Roman" w:cs="Times New Roman" w:eastAsia="Times New Roman"/>
          <w:b w:val="0"/>
          <w:i w:val="0"/>
          <w:sz w:val="24"/>
        </w:rPr>
        <w:t>Lcdo. Carlos M. Santini Rodríguez</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1</Pages>
  <Words>0</Words>
  <Characters>0</Characters>
  <Application/>
  <DocSecurity/>
  <Lines>0</Lines>
  <Paragraphs>0</Paragraphs>
  <ScaleCrop/>
  <HeadingPairs>
    <vt:vector size="2" baseType="variant">
      <vt:variant>
        <vt:lpstr>Title</vt:lpstr>
      </vt:variant>
      <vt:variant>
        <vt:i4>1</vt:i4>
      </vt:variant>
    </vt:vector>
  </HeadingPairs>
  <TitlesOfParts>
    <vt:vector size="1" baseType="lpstr">
      <vt:lpstr/>
    </vt:vector>
  </TitlesOfParts>
  <Manager/>
  <Company/>
  <LinksUpToDate/>
  <CharactersWithSpaces>0</CharactersWithSpaces>
  <SharedDoc/>
  <HyperlinkBase/>
  <HyperlinksChanged/>
  <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
  <dcterms:created xsi:type="dcterms:W3CDTF">2013-12-23T23:15:00Z</dcterms:created>
  <dcterms:modified xsi:type="dcterms:W3CDTF">2013-12-23T23:15:00Z</dcterms:modified>
  <cp:category/>
  <cp:contentStatus/>
  <dc:identifier/>
  <dc:language/>
  <cp:version/>
</cp:coreProperties>
</file>