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center"/>
      </w:pPr>
      <w:r>
        <w:rPr>
          <w:rFonts w:ascii="Times New Roman" w:hAnsi="Times New Roman" w:cs="Times New Roman" w:eastAsia="Times New Roman"/>
          <w:b/>
          <w:i w:val="0"/>
          <w:sz w:val="24"/>
        </w:rPr>
        <w:t>LCDO. CARLOS M. SANTINI RODRÍGUEZ</w:t>
      </w:r>
    </w:p>
    <w:p>
      <w:pPr>
        <w:spacing w:after="0" w:line="240" w:lineRule="auto"/>
        <w:jc w:val="center"/>
      </w:pPr>
      <w:r>
        <w:rPr>
          <w:rFonts w:ascii="Times New Roman" w:hAnsi="Times New Roman" w:cs="Times New Roman" w:eastAsia="Times New Roman"/>
          <w:b/>
          <w:i w:val="0"/>
          <w:sz w:val="24"/>
        </w:rPr>
        <w:t>ATTORNEY AT LAW</w:t>
      </w:r>
    </w:p>
    <w:p>
      <w:pPr>
        <w:spacing w:after="0" w:line="240" w:lineRule="auto"/>
        <w:jc w:val="center"/>
      </w:pPr>
      <w:r>
        <w:rPr>
          <w:rFonts w:ascii="Times New Roman" w:hAnsi="Times New Roman" w:cs="Times New Roman" w:eastAsia="Times New Roman"/>
          <w:b w:val="0"/>
          <w:i w:val="0"/>
          <w:sz w:val="24"/>
        </w:rPr>
        <w:t>RUA 12862 / COL. 14085</w:t>
      </w:r>
    </w:p>
    <w:p>
      <w:pPr>
        <w:spacing w:after="0" w:line="240" w:lineRule="auto"/>
        <w:jc w:val="center"/>
      </w:pPr>
      <w:r>
        <w:rPr>
          <w:rFonts w:ascii="Times New Roman" w:hAnsi="Times New Roman" w:cs="Times New Roman" w:eastAsia="Times New Roman"/>
          <w:b w:val="0"/>
          <w:i w:val="0"/>
          <w:sz w:val="24"/>
        </w:rPr>
        <w:t>PO BOX 30409 SAN JUAN, PR 00929-0544</w:t>
      </w:r>
    </w:p>
    <w:p>
      <w:pPr>
        <w:spacing w:after="0" w:line="240" w:lineRule="auto"/>
        <w:jc w:val="center"/>
      </w:pPr>
      <w:r>
        <w:rPr>
          <w:rFonts w:ascii="Times New Roman" w:hAnsi="Times New Roman" w:cs="Times New Roman" w:eastAsia="Times New Roman"/>
          <w:b w:val="0"/>
          <w:i w:val="0"/>
          <w:sz w:val="24"/>
        </w:rPr>
        <w:t>TEL. 787.636.0770</w:t>
      </w:r>
    </w:p>
    <w:p>
      <w:pPr>
        <w:spacing w:after="0" w:line="240" w:lineRule="auto"/>
        <w:jc w:val="center"/>
      </w:pPr>
      <w:r>
        <w:rPr>
          <w:rFonts w:ascii="Times New Roman" w:hAnsi="Times New Roman" w:cs="Times New Roman" w:eastAsia="Times New Roman"/>
          <w:b w:val="0"/>
          <w:i w:val="0"/>
          <w:sz w:val="24"/>
        </w:rPr>
        <w:t>CARSANTINI@GMAIL.COM</w:t>
      </w:r>
    </w:p>
    <w:p>
      <w:pPr>
        <w:spacing w:after="240" w:line="240" w:lineRule="auto"/>
        <w:jc w:val="both"/>
      </w:pPr>
    </w:p>
    <w:p>
      <w:pPr>
        <w:spacing w:after="240" w:line="240" w:lineRule="auto"/>
        <w:jc w:val="left"/>
      </w:pPr>
      <w:r>
        <w:rPr>
          <w:rFonts w:ascii="Times New Roman" w:hAnsi="Times New Roman" w:cs="Times New Roman" w:eastAsia="Times New Roman"/>
          <w:b w:val="0"/>
          <w:i w:val="0"/>
          <w:sz w:val="24"/>
        </w:rPr>
        <w:t>Vía correo electrónico [correo electrónico por confirmar]</w:t>
      </w:r>
    </w:p>
    <w:p>
      <w:pPr>
        <w:spacing w:after="240" w:line="240" w:lineRule="auto"/>
        <w:jc w:val="left"/>
      </w:pPr>
      <w:r>
        <w:rPr>
          <w:rFonts w:ascii="Times New Roman" w:hAnsi="Times New Roman" w:cs="Times New Roman" w:eastAsia="Times New Roman"/>
          <w:b w:val="0"/>
          <w:i w:val="0"/>
          <w:sz w:val="24"/>
        </w:rPr>
        <w:t>8 de septiembre de 2026</w:t>
      </w:r>
    </w:p>
    <w:p>
      <w:pPr>
        <w:spacing w:after="0" w:line="240" w:lineRule="auto"/>
        <w:jc w:val="left"/>
      </w:pPr>
      <w:r>
        <w:rPr>
          <w:rFonts w:ascii="Times New Roman" w:hAnsi="Times New Roman" w:cs="Times New Roman" w:eastAsia="Times New Roman"/>
          <w:b w:val="0"/>
          <w:i w:val="0"/>
          <w:sz w:val="24"/>
        </w:rPr>
        <w:t>Sra. Rosa Méndez Cabret</w:t>
      </w:r>
    </w:p>
    <w:p>
      <w:pPr>
        <w:spacing w:after="0" w:line="240" w:lineRule="auto"/>
        <w:jc w:val="left"/>
      </w:pPr>
      <w:r>
        <w:rPr>
          <w:rFonts w:ascii="Times New Roman" w:hAnsi="Times New Roman" w:cs="Times New Roman" w:eastAsia="Times New Roman"/>
          <w:b w:val="0"/>
          <w:i w:val="0"/>
          <w:sz w:val="24"/>
        </w:rPr>
        <w:t>Directora de Recursos Humanos</w:t>
      </w:r>
    </w:p>
    <w:p>
      <w:pPr>
        <w:spacing w:after="0" w:line="240" w:lineRule="auto"/>
        <w:jc w:val="left"/>
      </w:pPr>
      <w:r>
        <w:rPr>
          <w:rFonts w:ascii="Times New Roman" w:hAnsi="Times New Roman" w:cs="Times New Roman" w:eastAsia="Times New Roman"/>
          <w:b w:val="0"/>
          <w:i w:val="0"/>
          <w:sz w:val="24"/>
        </w:rPr>
        <w:t>Municipio de Naguabo</w:t>
      </w:r>
    </w:p>
    <w:p>
      <w:pPr>
        <w:spacing w:after="0" w:line="240" w:lineRule="auto"/>
        <w:jc w:val="left"/>
      </w:pPr>
      <w:r>
        <w:rPr>
          <w:rFonts w:ascii="Times New Roman" w:hAnsi="Times New Roman" w:cs="Times New Roman" w:eastAsia="Times New Roman"/>
          <w:b w:val="0"/>
          <w:i w:val="0"/>
          <w:sz w:val="24"/>
        </w:rPr>
        <w:t>Naguabo, Puerto Rico</w:t>
      </w:r>
    </w:p>
    <w:p>
      <w:pPr>
        <w:spacing w:after="240" w:line="240" w:lineRule="auto"/>
        <w:jc w:val="both"/>
      </w:pPr>
    </w:p>
    <w:p>
      <w:pPr>
        <w:spacing w:after="240" w:line="240" w:lineRule="auto"/>
        <w:jc w:val="left"/>
      </w:pPr>
      <w:r>
        <w:rPr>
          <w:rFonts w:ascii="Times New Roman" w:hAnsi="Times New Roman" w:cs="Times New Roman" w:eastAsia="Times New Roman"/>
          <w:b/>
          <w:i w:val="0"/>
          <w:sz w:val="24"/>
        </w:rPr>
        <w:t>CONSULTA LEGAL | CALZADO EXIGIDO A TRABAJADORES DE CAMPO, OBLIGACIÓN DE PAGO Y PROHIBICIÓN DE CHANCLETAS</w:t>
      </w:r>
    </w:p>
    <w:p>
      <w:pPr>
        <w:spacing w:after="240" w:line="240" w:lineRule="auto"/>
        <w:jc w:val="left"/>
      </w:pPr>
      <w:r>
        <w:rPr>
          <w:rFonts w:ascii="Times New Roman" w:hAnsi="Times New Roman" w:cs="Times New Roman" w:eastAsia="Times New Roman"/>
          <w:b w:val="0"/>
          <w:i w:val="0"/>
          <w:sz w:val="24"/>
        </w:rPr>
        <w:t>Estimada señora Méndez Cabret,</w:t>
      </w:r>
    </w:p>
    <w:p>
      <w:pPr>
        <w:spacing w:after="240" w:line="240" w:lineRule="auto"/>
        <w:jc w:val="both"/>
      </w:pPr>
      <w:r>
        <w:rPr>
          <w:rFonts w:ascii="Times New Roman" w:hAnsi="Times New Roman" w:cs="Times New Roman" w:eastAsia="Times New Roman"/>
          <w:b w:val="0"/>
          <w:i w:val="0"/>
          <w:sz w:val="24"/>
        </w:rPr>
        <w:t>La Oficina de Recursos Humanos del Municipio de Naguabo nos consulta sobre el calzado de los empleados que ocupan puestos de trabajador en las unidades de campo del Municipio. Según los hechos que se nos informan, el Municipio exige a esos empleados el uso de botas regulares de trabajo, no botas de seguridad con puntera ni otro calzado especializado, y algunos empleados se presentan a laborar en chancletas. Se nos pregunta, en primer lugar, si el Municipio puede exigir a esos empleados el uso de botas regulares o de calzado cerrado y prohibir el uso de chancletas; en segundo lugar, si el Municipio viene obligado a pagar ese calzado; y, en tercer lugar, cómo debe adoptarse y aplicarse la regla, incluida la consecuencia para el empleado que la incumpla. Esta opinión se emite a base del Código Municipal de Puerto Rico en su texto consolidado por la Oficina de Gerencia y Presupuesto con revisión de 21 de agosto de 2026 y del Reglamento para la Administración de los Recursos Humanos del Servicio de Carrera del Municipio de Naguabo de 2025, ambos provistos por el Municipio. Las autoridades federales y las demás leyes de Puerto Rico que se citan fueron localizadas mediante búsqueda, pero sus textos no pudieron cotejarse contra la fuente primaria al momento de redactar esta opinión, por lo que sus transcripciones aparecen marcadas con la leyenda [TEXTO POR VERIFICAR] y deberán confirmarse antes de la distribución final del documento.</w:t>
      </w:r>
    </w:p>
    <w:p>
      <w:pPr>
        <w:spacing w:after="240" w:line="240" w:lineRule="auto"/>
        <w:jc w:val="left"/>
      </w:pPr>
      <w:r>
        <w:rPr>
          <w:rFonts w:ascii="Times New Roman" w:hAnsi="Times New Roman" w:cs="Times New Roman" w:eastAsia="Times New Roman"/>
          <w:b/>
          <w:i w:val="0"/>
          <w:sz w:val="24"/>
        </w:rPr>
        <w:t>I. Derecho aplicable</w:t>
      </w:r>
    </w:p>
    <w:p>
      <w:pPr>
        <w:spacing w:after="240" w:line="240" w:lineRule="auto"/>
        <w:jc w:val="both"/>
      </w:pPr>
      <w:r>
        <w:rPr>
          <w:rFonts w:ascii="Times New Roman" w:hAnsi="Times New Roman" w:cs="Times New Roman" w:eastAsia="Times New Roman"/>
          <w:b w:val="0"/>
          <w:i w:val="0"/>
          <w:sz w:val="24"/>
        </w:rPr>
        <w:t>El Artículo II, Sección 16 de la Constitución del Estado Libre Asociado de Puerto Rico reconoce el derecho de todo trabajador a protección contra riesgos para su salud o integridad personal en su trabajo o empleo. [TEXTO POR VERIFICAR: transcribir la Sección 16 desde la fuente primaria antes de distribuir esta opinión.] Este mandato constitucional es el fundamento de la legislación de seguridad y salud en el trabajo que se discute a continuación y, a la vez, del deber del Municipio, como patrono, de establecer reglas mínimas de seguridad para su personal de campo.</w:t>
      </w:r>
    </w:p>
    <w:p>
      <w:pPr>
        <w:spacing w:after="240" w:line="240" w:lineRule="auto"/>
        <w:jc w:val="both"/>
      </w:pPr>
      <w:r>
        <w:rPr>
          <w:rFonts w:ascii="Times New Roman" w:hAnsi="Times New Roman" w:cs="Times New Roman" w:eastAsia="Times New Roman"/>
          <w:b w:val="0"/>
          <w:i w:val="0"/>
          <w:sz w:val="24"/>
        </w:rPr>
        <w:t>En el ámbito federal, la Ley de Seguridad y Salud Ocupacional de 1970, "Occupational Safety and Health Act", 29 USC §§ 651 et seq., excluye a los estados y a sus subdivisiones políticas de la definición federal de patrono. El 29 USC § 652(5)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The term "employer" means a person engaged in a business affecting commerce who has employees, but does not include the United States (not including the United States Postal Service) </w:t>
      </w:r>
      <w:r>
        <w:rPr>
          <w:rFonts w:ascii="Times New Roman" w:hAnsi="Times New Roman" w:cs="Times New Roman" w:eastAsia="Times New Roman"/>
          <w:b/>
          <w:i w:val="0"/>
          <w:sz w:val="24"/>
        </w:rPr>
        <w:t>or any State or political subdivision of a State</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Por esa razón, los empleados de los municipios de Puerto Rico no están cubiertos por la agencia federal OSHA de forma directa, sino a través del plan estatal aprobado bajo el 29 USC § 667. El inciso (c)(6) de esa sección exige que todo plan estatal contenga garantías de que el Estado establecerá y mantendrá un programa de seguridad y salud ocupacional aplicable a todos los empleados de las agencias públicas del Estado y de sus subdivisiones políticas, tan efectivo como las normas del plan aprobado. [TEXTO POR VERIFICAR: transcribir el 29 USC § 667(c)(6).] La página oficial del plan estatal de Puerto Rico en OSHA informa que el plan cubre a los trabajadores del sector privado y a los de los gobiernos estatal y locales, y que PR OSHA ha adoptado de forma idéntica las normas federales aplicables a esos sectores. [TEXTO POR VERIFICAR: https://www.osha.gov/stateplans/pr.]</w:t>
      </w:r>
    </w:p>
    <w:p>
      <w:pPr>
        <w:spacing w:after="240" w:line="240" w:lineRule="auto"/>
        <w:jc w:val="both"/>
      </w:pPr>
      <w:r>
        <w:rPr>
          <w:rFonts w:ascii="Times New Roman" w:hAnsi="Times New Roman" w:cs="Times New Roman" w:eastAsia="Times New Roman"/>
          <w:b w:val="0"/>
          <w:i w:val="0"/>
          <w:sz w:val="24"/>
        </w:rPr>
        <w:t>La norma federal sobre equipo de protección personal en la industria general, 29 CFR § 1910.132, establece en su inciso (d)(1) el deber del patrono de evaluar el lugar de trabajo para determinar si existen riesgos que requieran equipo de protección personal, y regula en su inciso (h) quién paga ese equipo. Los incisos pertinentes disponen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(h)(1) Except as provided by paragraphs (h)(2) through (h)(6) of this section, the protective equipment, including personal protective equipment (PPE), </w:t>
      </w:r>
      <w:r>
        <w:rPr>
          <w:rFonts w:ascii="Times New Roman" w:hAnsi="Times New Roman" w:cs="Times New Roman" w:eastAsia="Times New Roman"/>
          <w:b/>
          <w:i w:val="0"/>
          <w:sz w:val="24"/>
        </w:rPr>
        <w:t>used to comply with this part</w:t>
      </w:r>
      <w:r>
        <w:rPr>
          <w:rFonts w:ascii="Times New Roman" w:hAnsi="Times New Roman" w:cs="Times New Roman" w:eastAsia="Times New Roman"/>
          <w:b w:val="0"/>
          <w:i w:val="0"/>
          <w:sz w:val="24"/>
        </w:rPr>
        <w:t xml:space="preserve">, shall be provided by the employer at no cost to employees. (h)(2) The employer is not required to pay for non-specialty safety-toe protective footwear (including steel-toe shoes or steel-toe boots) and non-specialty prescription safety eyewear, provided that the employer permits such items to be worn off the job-site. [...] (h)(4) [...] The employer is not required to pay for </w:t>
      </w:r>
      <w:r>
        <w:rPr>
          <w:rFonts w:ascii="Times New Roman" w:hAnsi="Times New Roman" w:cs="Times New Roman" w:eastAsia="Times New Roman"/>
          <w:b/>
          <w:i w:val="0"/>
          <w:sz w:val="24"/>
        </w:rPr>
        <w:t>everyday clothing, such as long-sleeve shirts, long pants, street shoes, and normal work boots</w:t>
      </w:r>
      <w:r>
        <w:rPr>
          <w:rFonts w:ascii="Times New Roman" w:hAnsi="Times New Roman" w:cs="Times New Roman" w:eastAsia="Times New Roman"/>
          <w:b w:val="0"/>
          <w:i w:val="0"/>
          <w:sz w:val="24"/>
        </w:rPr>
        <w:t>. [...] (h)(7) The employer shall not require an employee to provide or pay for his or her own PPE, unless the PPE is excepted by paragraphs (h)(2) through (h)(5) of this section.</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Por su parte, el 29 CFR § 1910.136(a), sobre protección de los pies, cuyo texto fue cotejado contra la página oficial de OSHA,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The employer shall ensure that each affected employee uses protective footwear </w:t>
      </w:r>
      <w:r>
        <w:rPr>
          <w:rFonts w:ascii="Times New Roman" w:hAnsi="Times New Roman" w:cs="Times New Roman" w:eastAsia="Times New Roman"/>
          <w:b/>
          <w:i w:val="0"/>
          <w:sz w:val="24"/>
        </w:rPr>
        <w:t>when working in areas where there is a danger of foot injuries due to falling or rolling objects, or objects piercing the sole</w:t>
      </w:r>
      <w:r>
        <w:rPr>
          <w:rFonts w:ascii="Times New Roman" w:hAnsi="Times New Roman" w:cs="Times New Roman" w:eastAsia="Times New Roman"/>
          <w:b w:val="0"/>
          <w:i w:val="0"/>
          <w:sz w:val="24"/>
        </w:rPr>
        <w:t>, or when the use of protective footwear will protect the affected employee from an electrical hazard, such as a static-discharge or electric-shock hazard, that remains after the employer takes other necessary protective measures.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Ley Federal de Normas Razonables del Trabajo de 1938, "Fair Labor Standards Act" (FLSA), 29 USC §§ 201 et seq., sí cubre a los municipios de forma directa. El 29 USC § 203(d) define patrono así:</w:t>
      </w:r>
    </w:p>
    <w:p>
      <w:pPr>
        <w:spacing w:after="240" w:line="240" w:lineRule="auto"/>
        <w:ind w:left="720" w:right="720"/>
        <w:jc w:val="both"/>
      </w:pPr>
      <w:r>
        <w:rPr>
          <w:rFonts w:ascii="Times New Roman" w:hAnsi="Times New Roman" w:cs="Times New Roman" w:eastAsia="Times New Roman"/>
          <w:b w:val="0"/>
          <w:i w:val="0"/>
          <w:sz w:val="24"/>
        </w:rPr>
        <w:t xml:space="preserve">[TEXTO POR VERIFICAR] "Employer" includes any person acting directly or indirectly in the interest of an employer in relation to an employee </w:t>
      </w:r>
      <w:r>
        <w:rPr>
          <w:rFonts w:ascii="Times New Roman" w:hAnsi="Times New Roman" w:cs="Times New Roman" w:eastAsia="Times New Roman"/>
          <w:b/>
          <w:i w:val="0"/>
          <w:sz w:val="24"/>
        </w:rPr>
        <w:t>and includes a public agency</w:t>
      </w:r>
      <w:r>
        <w:rPr>
          <w:rFonts w:ascii="Times New Roman" w:hAnsi="Times New Roman" w:cs="Times New Roman" w:eastAsia="Times New Roman"/>
          <w:b w:val="0"/>
          <w:i w:val="0"/>
          <w:sz w:val="24"/>
        </w:rPr>
        <w:t>, but does not include any labor organization (other than when acting as an employer) or anyone acting in the capacity of officer or agent of such labor organization.</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29 USC § 203(x) define "public agency" de modo que incluye al gobierno de un Estado y a sus subdivisiones políticas. [TEXTO POR VERIFICAR: transcribir el 29 USC § 203(x).] En cuanto a uniformes y herramientas del oficio, el 29 CFR § 531.3(d) dispone que el costo de las facilidades que redundan primordialmente en beneficio o conveniencia del patrono no se reconoce como razonable ni puede incluirse en el cómputo del salario, y su inciso (d)(2) menciona de forma expresa el costo de los uniformes y de su lavado cuando la naturaleza del negocio exige que el empleado los use. [TEXTO POR VERIFICAR: transcribir el 29 CFR § 531.3(d)(1) y (d)(2).] El 29 CFR § 531.35 añade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 if it is a requirement of the employer that the employee must provide tools of the trade which will be used in or are specifically required for the performance of the employer's particular work, there would be a violation of the Act in any workweek when the cost of such tools purchased by the employee </w:t>
      </w:r>
      <w:r>
        <w:rPr>
          <w:rFonts w:ascii="Times New Roman" w:hAnsi="Times New Roman" w:cs="Times New Roman" w:eastAsia="Times New Roman"/>
          <w:b/>
          <w:i w:val="0"/>
          <w:sz w:val="24"/>
        </w:rPr>
        <w:t>cuts into the minimum or overtime wages required to be paid him under the Act</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 el ámbito local, la Ley Núm. 16 de 5 de agosto de 1975, según enmendada, conocida como "Ley de Seguridad y Salud en el Trabajo de Puerto Rico", crea el plan estatal de seguridad y salud ocupacional administrado por PR OSHA e impone al patrono el deber general de proveer a sus empleados un lugar de trabajo libre de riesgos reconocidos. [TEXTO POR VERIFICAR: transcribir la definición de patrono del Artículo 3 y el deber general del patrono, desde https://bvirtualogp.pr.gov/ogp/Bvirtual/leyesreferencia/PDF/Trabajo/16-1975/16-1975.pdf, y confirmar la mención expresa de los municipios.] Bajo el esquema federal ya descrito, es esta ley, y no la ley federal, la que hace del Municipio un patrono sujeto a inspección y citación en materia de seguridad ocupacional.</w:t>
      </w:r>
    </w:p>
    <w:p>
      <w:pPr>
        <w:spacing w:after="240" w:line="240" w:lineRule="auto"/>
        <w:jc w:val="both"/>
      </w:pPr>
      <w:r>
        <w:rPr>
          <w:rFonts w:ascii="Times New Roman" w:hAnsi="Times New Roman" w:cs="Times New Roman" w:eastAsia="Times New Roman"/>
          <w:b w:val="0"/>
          <w:i w:val="0"/>
          <w:sz w:val="24"/>
        </w:rPr>
        <w:t>La Ley 180-1998, según enmendada, conocida como "Ley de Salario Mínimo, Vacaciones y Licencia por Enfermedad de Puerto Rico", contiene una disposición sobre uso de uniformes, codificada en 29 LPRA § 250e, que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Todo patrono que </w:t>
      </w:r>
      <w:r>
        <w:rPr>
          <w:rFonts w:ascii="Times New Roman" w:hAnsi="Times New Roman" w:cs="Times New Roman" w:eastAsia="Times New Roman"/>
          <w:b/>
          <w:i w:val="0"/>
          <w:sz w:val="24"/>
        </w:rPr>
        <w:t>requiera a sus empleados el uso de uniformes</w:t>
      </w:r>
      <w:r>
        <w:rPr>
          <w:rFonts w:ascii="Times New Roman" w:hAnsi="Times New Roman" w:cs="Times New Roman" w:eastAsia="Times New Roman"/>
          <w:b w:val="0"/>
          <w:i w:val="0"/>
          <w:sz w:val="24"/>
        </w:rPr>
        <w:t xml:space="preserve"> tendrá que sufragar los gastos que conlleve la adquisición de los mismos. Bajo ningún concepto se podrá requerir al empleado que en forma alguna, contribuya directa o indirectamente a asumir total o parcialmente los gastos que conlleve la adquisición de tales uniformes.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3 de esa ley excluía de su aplicación a las personas empleadas por los gobiernos municipales. Sin embargo, la Ley 47-2021, conocida como "Ley de Salario Mínimo de Puerto Rico", derogó los Artículos 2 y 3 de la Ley 180-1998, según se desprende de las fuentes localizadas. [CITA POR VERIFICAR: confirmar en el texto consolidado de OGP si la exclusión de los gobiernos municipales subsiste en la Ley 180-1998 tras la Ley 47-2021, y el número vigente del artículo sobre uniformes.] Mientras ese punto no se confirme, esta opinión no descansa en la exclusión municipal y analiza la regla de calzado de modo que no constituya un uniforme.</w:t>
      </w:r>
    </w:p>
    <w:p>
      <w:pPr>
        <w:spacing w:after="240" w:line="240" w:lineRule="auto"/>
        <w:jc w:val="both"/>
      </w:pPr>
      <w:r>
        <w:rPr>
          <w:rFonts w:ascii="Times New Roman" w:hAnsi="Times New Roman" w:cs="Times New Roman" w:eastAsia="Times New Roman"/>
          <w:b w:val="0"/>
          <w:i w:val="0"/>
          <w:sz w:val="24"/>
        </w:rPr>
        <w:t>La Ley Núm. 17 de 17 de abril de 1931, según enmendada, conocida como "Ley de Pago de Salarios", prohíbe en su Sección 5, 29 LPRA § 175, los descuentos de salario no autorizados. Su oración inicial dispone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Salvo en los casos previstos en esta Sección, </w:t>
      </w:r>
      <w:r>
        <w:rPr>
          <w:rFonts w:ascii="Times New Roman" w:hAnsi="Times New Roman" w:cs="Times New Roman" w:eastAsia="Times New Roman"/>
          <w:b/>
          <w:i w:val="0"/>
          <w:sz w:val="24"/>
        </w:rPr>
        <w:t>ningún patrono podrá descontar ni retener por ningún motivo parte del salario</w:t>
      </w:r>
      <w:r>
        <w:rPr>
          <w:rFonts w:ascii="Times New Roman" w:hAnsi="Times New Roman" w:cs="Times New Roman" w:eastAsia="Times New Roman"/>
          <w:b w:val="0"/>
          <w:i w:val="0"/>
          <w:sz w:val="24"/>
        </w:rPr>
        <w:t xml:space="preserve"> que devengarán los obreros [...]</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misma Sección, en su inciso (h), menciona a los empleados de corporaciones públicas, agencias e instrumentalidades gubernamentales, "incluyendo los municipios", al autorizar ciertos descuentos voluntarios por escrito. [TEXTO POR VERIFICAR: transcribir el inciso (h) de la Sección 5 y confirmar la aplicación de la ley a los municipios como patronos.]</w:t>
      </w:r>
    </w:p>
    <w:p>
      <w:pPr>
        <w:spacing w:after="240" w:line="240" w:lineRule="auto"/>
        <w:jc w:val="both"/>
      </w:pPr>
      <w:r>
        <w:rPr>
          <w:rFonts w:ascii="Times New Roman" w:hAnsi="Times New Roman" w:cs="Times New Roman" w:eastAsia="Times New Roman"/>
          <w:b w:val="0"/>
          <w:i w:val="0"/>
          <w:sz w:val="24"/>
        </w:rPr>
        <w:t>El Código Municipal de Puerto Rico, Ley 107-2020, según enmendada, confiere al Alcalde la facultad de reglamentar la conducta de los empleados y de sancionar su incumplimiento. El Artículo 1.018 dispone, en sus incisos (l), (m) y (n), lo siguiente:</w:t>
      </w:r>
    </w:p>
    <w:p>
      <w:pPr>
        <w:spacing w:after="240" w:line="240" w:lineRule="auto"/>
        <w:ind w:left="720" w:right="720"/>
        <w:jc w:val="both"/>
      </w:pPr>
      <w:r>
        <w:rPr>
          <w:rFonts w:ascii="Times New Roman" w:hAnsi="Times New Roman" w:cs="Times New Roman" w:eastAsia="Times New Roman"/>
          <w:b w:val="0"/>
          <w:i w:val="0"/>
          <w:sz w:val="24"/>
        </w:rPr>
        <w:t xml:space="preserve">(l) Dar cuenta inmediata a las autoridades competentes sobre cualquier irregularidad, deficiencia o infracción a las leyes, ordenanzas, resoluciones y reglamentos aplicables al municipio. Adoptar las medidas e imponer las sanciones que se dispongan a los funcionarios o empleados que incurran, o que con su acción u omisión ocasionen tales irregularidades, deficiencias o infracciones. (m) Diseñar, formular y aplicar un sistema de administración de personal para el municipio, de acuerdo con las disposiciones de este Código y los reglamentos adoptados en virtud del mismo. </w:t>
      </w:r>
      <w:r>
        <w:rPr>
          <w:rFonts w:ascii="Times New Roman" w:hAnsi="Times New Roman" w:cs="Times New Roman" w:eastAsia="Times New Roman"/>
          <w:b/>
          <w:i w:val="0"/>
          <w:sz w:val="24"/>
        </w:rPr>
        <w:t>Promulgar las reglas a que estarán sujetos los funcionarios y empleados municipales en el cumplimiento de sus deberes y obligaciones.</w:t>
      </w:r>
      <w:r>
        <w:rPr>
          <w:rFonts w:ascii="Times New Roman" w:hAnsi="Times New Roman" w:cs="Times New Roman" w:eastAsia="Times New Roman"/>
          <w:b w:val="0"/>
          <w:i w:val="0"/>
          <w:sz w:val="24"/>
        </w:rPr>
        <w:t xml:space="preserve"> (n) Propiciar, por conducto de la Oficina de Recursos Humanos, el desarrollo de programas dirigidos a mantener un clima de trabajo que contribuya a la satisfacción, motivación y participación de los empleados y funcionarios municipales.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2.005 del Código Municipal asigna a los directores de unidades administrativas, entre otros, los deberes siguientes:</w:t>
      </w:r>
    </w:p>
    <w:p>
      <w:pPr>
        <w:spacing w:after="240" w:line="240" w:lineRule="auto"/>
        <w:ind w:left="720" w:right="720"/>
        <w:jc w:val="both"/>
      </w:pPr>
      <w:r>
        <w:rPr>
          <w:rFonts w:ascii="Times New Roman" w:hAnsi="Times New Roman" w:cs="Times New Roman" w:eastAsia="Times New Roman"/>
          <w:b w:val="0"/>
          <w:i w:val="0"/>
          <w:sz w:val="24"/>
        </w:rPr>
        <w:t>(c) Impartir las instrucciones específicas, de carácter técnico y administrativo que deben regir las actividades de la unidad administrativa de que se trate. [...] (e) Velar por el fiel cumplimiento de las normas legales y reglamentarias relativas a los asuntos bajo su dirección y estudiar y resolver los diversos problemas.</w:t>
      </w:r>
    </w:p>
    <w:p>
      <w:pPr>
        <w:spacing w:after="240" w:line="240" w:lineRule="auto"/>
        <w:jc w:val="both"/>
      </w:pPr>
      <w:r>
        <w:rPr>
          <w:rFonts w:ascii="Times New Roman" w:hAnsi="Times New Roman" w:cs="Times New Roman" w:eastAsia="Times New Roman"/>
          <w:b w:val="0"/>
          <w:i w:val="0"/>
          <w:sz w:val="24"/>
        </w:rPr>
        <w:t>El Artículo 2.042 del Código Municipal ordena a cada municipio establecer un sistema autónomo de administración de recursos humanos regido por el principio de mérito y adoptar un reglamento uniforme de administración de recursos humanos. El Artículo 2.044(c) define a los empleados transitorios como "aquellos empleados nombrados para ocupar puestos o posiciones en el municipio por periodos de tiempo determinados" y dispone que "estos empleados se considerarán empleados municipales". El Artículo 2.052, sobre deberes y obligaciones de los empleados, aplica a todos ellos con independencia de su estado legal y dispone, en lo pertinente, lo siguiente:</w:t>
      </w:r>
    </w:p>
    <w:p>
      <w:pPr>
        <w:spacing w:after="240" w:line="240" w:lineRule="auto"/>
        <w:ind w:left="720" w:right="720"/>
        <w:jc w:val="both"/>
      </w:pPr>
      <w:r>
        <w:rPr>
          <w:rFonts w:ascii="Times New Roman" w:hAnsi="Times New Roman" w:cs="Times New Roman" w:eastAsia="Times New Roman"/>
          <w:b w:val="0"/>
          <w:i w:val="0"/>
          <w:sz w:val="24"/>
        </w:rPr>
        <w:t xml:space="preserve">Además de los otros que puedan establecerse por ley, ordenanza o reglamentos, todos los funcionarios y empleados municipales, </w:t>
      </w:r>
      <w:r>
        <w:rPr>
          <w:rFonts w:ascii="Times New Roman" w:hAnsi="Times New Roman" w:cs="Times New Roman" w:eastAsia="Times New Roman"/>
          <w:b/>
          <w:i w:val="0"/>
          <w:sz w:val="24"/>
        </w:rPr>
        <w:t>independientemente del servicio a que pertenezcan o del estado legal que ostenten</w:t>
      </w:r>
      <w:r>
        <w:rPr>
          <w:rFonts w:ascii="Times New Roman" w:hAnsi="Times New Roman" w:cs="Times New Roman" w:eastAsia="Times New Roman"/>
          <w:b w:val="0"/>
          <w:i w:val="0"/>
          <w:sz w:val="24"/>
        </w:rPr>
        <w:t xml:space="preserve">, tendrán los deberes y obligaciones que a continuación se disponen: (a) Los funcionarios y empleados municipales deberán: [...] (4) </w:t>
      </w:r>
      <w:r>
        <w:rPr>
          <w:rFonts w:ascii="Times New Roman" w:hAnsi="Times New Roman" w:cs="Times New Roman" w:eastAsia="Times New Roman"/>
          <w:b/>
          <w:i w:val="0"/>
          <w:sz w:val="24"/>
        </w:rPr>
        <w:t>Acatar aquellas órdenes e instrucciones de sus supervisores</w:t>
      </w:r>
      <w:r>
        <w:rPr>
          <w:rFonts w:ascii="Times New Roman" w:hAnsi="Times New Roman" w:cs="Times New Roman" w:eastAsia="Times New Roman"/>
          <w:b w:val="0"/>
          <w:i w:val="0"/>
          <w:sz w:val="24"/>
        </w:rPr>
        <w:t xml:space="preserve"> compatibles con la autoridad delegada en estos y con las funciones, actividades y operaciones municipales. [...] (8) Cumplir las disposiciones de este Código, las ordenanzas, las reglas y las órdenes adoptadas en virtud de la misma.</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2.053 del Código Municipal regula las acciones disciplinarias en los términos siguientes:</w:t>
      </w:r>
    </w:p>
    <w:p>
      <w:pPr>
        <w:spacing w:after="240" w:line="240" w:lineRule="auto"/>
        <w:ind w:left="720" w:right="720"/>
        <w:jc w:val="both"/>
      </w:pPr>
      <w:r>
        <w:rPr>
          <w:rFonts w:ascii="Times New Roman" w:hAnsi="Times New Roman" w:cs="Times New Roman" w:eastAsia="Times New Roman"/>
          <w:b w:val="0"/>
          <w:i w:val="0"/>
          <w:sz w:val="24"/>
        </w:rPr>
        <w:t xml:space="preserve">Cuando la conducta de un empleado no se ajuste a las normas establecidas, la autoridad nominadora municipal impondrá la acción disciplinaria que corresponda. Entre otras medidas, se podrán considerar </w:t>
      </w:r>
      <w:r>
        <w:rPr>
          <w:rFonts w:ascii="Times New Roman" w:hAnsi="Times New Roman" w:cs="Times New Roman" w:eastAsia="Times New Roman"/>
          <w:b/>
          <w:i w:val="0"/>
          <w:sz w:val="24"/>
        </w:rPr>
        <w:t>la amonestación verbal, las reprimendas escritas, las suspensiones de empleo y sueldo y las destituciones</w:t>
      </w:r>
      <w:r>
        <w:rPr>
          <w:rFonts w:ascii="Times New Roman" w:hAnsi="Times New Roman" w:cs="Times New Roman" w:eastAsia="Times New Roman"/>
          <w:b w:val="0"/>
          <w:i w:val="0"/>
          <w:sz w:val="24"/>
        </w:rPr>
        <w:t xml:space="preserve">. (a) Se podrá destituir o suspender de empleo y sueldo a cualquier empleado, por justa causa, y </w:t>
      </w:r>
      <w:r>
        <w:rPr>
          <w:rFonts w:ascii="Times New Roman" w:hAnsi="Times New Roman" w:cs="Times New Roman" w:eastAsia="Times New Roman"/>
          <w:b/>
          <w:i w:val="0"/>
          <w:sz w:val="24"/>
        </w:rPr>
        <w:t>previa formulación de cargos por escrito y advertencia de su derecho a una vista informal</w:t>
      </w:r>
      <w:r>
        <w:rPr>
          <w:rFonts w:ascii="Times New Roman" w:hAnsi="Times New Roman" w:cs="Times New Roman" w:eastAsia="Times New Roman"/>
          <w:b w:val="0"/>
          <w:i w:val="0"/>
          <w:sz w:val="24"/>
        </w:rPr>
        <w:t>. En aquellos casos en que la conducta del empleado consista del uso ilegal de fondos públicos o cuando exista base razonable para creer que este constituye un peligro real para la salud, vida o moral de los empleados o del pueblo en general, se le podrá suspender de empleo en forma sumaria y luego de una vista informal en que se le informe de la acción a tomarse y se le dé oportunidad de expresarse. [...] (d) Podrá ser motivo de suspensión de empleo y sueldo y destitución, entre otras situaciones similares, la ausencia injustificada y sin autorización, del trabajo por cinco (5) días consecutivos y la violación de las disposiciones del Artículo 2.052 de este Código.</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2.056(q)(1) del Código Municipal autoriza métodos alternos de retribución que el municipio puede incorporar a su reglamento conforme a su capacidad presupuestaria, y enumera entre ellos el siguiente:</w:t>
      </w:r>
    </w:p>
    <w:p>
      <w:pPr>
        <w:spacing w:after="240" w:line="240" w:lineRule="auto"/>
        <w:ind w:left="720" w:right="720"/>
        <w:jc w:val="both"/>
      </w:pPr>
      <w:r>
        <w:rPr>
          <w:rFonts w:ascii="Times New Roman" w:hAnsi="Times New Roman" w:cs="Times New Roman" w:eastAsia="Times New Roman"/>
          <w:b w:val="0"/>
          <w:i w:val="0"/>
          <w:sz w:val="24"/>
        </w:rPr>
        <w:t xml:space="preserve">(viii) Beneficios de hospedaje, comida, </w:t>
      </w:r>
      <w:r>
        <w:rPr>
          <w:rFonts w:ascii="Times New Roman" w:hAnsi="Times New Roman" w:cs="Times New Roman" w:eastAsia="Times New Roman"/>
          <w:b/>
          <w:i w:val="0"/>
          <w:sz w:val="24"/>
        </w:rPr>
        <w:t>uniformes a todo empleado que lo requiera por la naturaleza del servicio que realiza</w:t>
      </w:r>
      <w:r>
        <w:rPr>
          <w:rFonts w:ascii="Times New Roman" w:hAnsi="Times New Roman" w:cs="Times New Roman" w:eastAsia="Times New Roman"/>
          <w:b w:val="0"/>
          <w:i w:val="0"/>
          <w:sz w:val="24"/>
        </w:rPr>
        <w:t>.</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El Artículo 2.059 del Código Municipal dispone que "[e]l Municipio administrará lo relativo al horario, a la jornada de trabajo y a la asistencia de los empleados, conforme a la reglamentación que adopte". Finalmente, el Artículo 3.032 del Código Municipal, sobre el uniforme oficial de la Policía Municipal, es la única disposición del Código que regula de forma expresa un uniforme, y dispone que "[m]ediante reglamento se establecerá la vestimenta que habrá de constituir el uniforme oficial del Cuerpo y el equipo destinado al mismo". Advertimos que el texto consolidado con revisión de 21 de agosto de 2026 que nos fue provisto no contiene la oración, atribuida por fuentes secundarias a la versión original de 2020, según la cual las prendas y equipo del uniforme serían suministradas por el municipio "libre de costo". [CITA POR VERIFICAR: cotejar el historial de enmiendas del Artículo 3.032.] El Código no contiene disposición alguna sobre uniformes, calzado o equipo de seguridad de los demás empleados municipales.</w:t>
      </w:r>
    </w:p>
    <w:p>
      <w:pPr>
        <w:spacing w:after="240" w:line="240" w:lineRule="auto"/>
        <w:jc w:val="both"/>
      </w:pPr>
      <w:r>
        <w:rPr>
          <w:rFonts w:ascii="Times New Roman" w:hAnsi="Times New Roman" w:cs="Times New Roman" w:eastAsia="Times New Roman"/>
          <w:b w:val="0"/>
          <w:i w:val="0"/>
          <w:sz w:val="24"/>
        </w:rPr>
        <w:t>En el ámbito reglamentario, el Reglamento para la Administración de los Recursos Humanos del Servicio de Carrera del Municipio de Naguabo de 2025 (en adelante, el Reglamento), adoptado al amparo del Artículo 2.042 del Código Municipal, dispone en su Artículo 4 lo siguiente:</w:t>
      </w:r>
    </w:p>
    <w:p>
      <w:pPr>
        <w:spacing w:after="240" w:line="240" w:lineRule="auto"/>
        <w:ind w:left="720" w:right="720"/>
        <w:jc w:val="both"/>
      </w:pPr>
      <w:r>
        <w:rPr>
          <w:rFonts w:ascii="Times New Roman" w:hAnsi="Times New Roman" w:cs="Times New Roman" w:eastAsia="Times New Roman"/>
          <w:b w:val="0"/>
          <w:i w:val="0"/>
          <w:sz w:val="24"/>
        </w:rPr>
        <w:t>Este Reglamento aplicará a los empleados en el Servicio de Carrera del Municipio de Naguabo. No será de aplicación al personal irregular del Municipio. Tampoco aplicará al personal de confianza, excepto lo que expresamente aquí se dispone.</w:t>
      </w:r>
    </w:p>
    <w:p>
      <w:pPr>
        <w:spacing w:after="240" w:line="240" w:lineRule="auto"/>
        <w:jc w:val="both"/>
      </w:pPr>
      <w:r>
        <w:rPr>
          <w:rFonts w:ascii="Times New Roman" w:hAnsi="Times New Roman" w:cs="Times New Roman" w:eastAsia="Times New Roman"/>
          <w:b w:val="0"/>
          <w:i w:val="0"/>
          <w:sz w:val="24"/>
        </w:rPr>
        <w:t>La Sección 9.1 del Reglamento condiciona la seguridad en el empleo al cumplimiento de los criterios de orden y disciplina y encarga al Municipio establecerlos:</w:t>
      </w:r>
    </w:p>
    <w:p>
      <w:pPr>
        <w:spacing w:after="240" w:line="240" w:lineRule="auto"/>
        <w:ind w:left="720" w:right="720"/>
        <w:jc w:val="both"/>
      </w:pPr>
      <w:r>
        <w:rPr>
          <w:rFonts w:ascii="Times New Roman" w:hAnsi="Times New Roman" w:cs="Times New Roman" w:eastAsia="Times New Roman"/>
          <w:b w:val="0"/>
          <w:i w:val="0"/>
          <w:sz w:val="24"/>
        </w:rPr>
        <w:t xml:space="preserve">Los empleados de carrera con estatus regular, reclutados, según la normativa aplicable tendrán seguridad en el empleo siempre que cumplan los criterios de productividad, eficiencia, hábitos y actitudes, orden y disciplina que deben prevalecer en el servicio público. </w:t>
      </w:r>
      <w:r>
        <w:rPr>
          <w:rFonts w:ascii="Times New Roman" w:hAnsi="Times New Roman" w:cs="Times New Roman" w:eastAsia="Times New Roman"/>
          <w:b/>
          <w:i w:val="0"/>
          <w:sz w:val="24"/>
        </w:rPr>
        <w:t>El municipio establecerá esos criterios tomando en consideración las funciones de los puestos</w:t>
      </w:r>
      <w:r>
        <w:rPr>
          <w:rFonts w:ascii="Times New Roman" w:hAnsi="Times New Roman" w:cs="Times New Roman" w:eastAsia="Times New Roman"/>
          <w:b w:val="0"/>
          <w:i w:val="0"/>
          <w:sz w:val="24"/>
        </w:rPr>
        <w:t xml:space="preserve"> y los deberes, obligaciones y prohibiciones que se establecen en el Código Municipal para todos los funcionarios y empleados municipales.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Sección 9.2 del Reglamento reproduce los deberes y obligaciones del Artículo 2.052 del Código Municipal, incluido el deber de acatar las órdenes e instrucciones de los supervisores. La Sección 9.3, sobre acciones correctivas y disciplinarias, dispone lo siguiente:</w:t>
      </w:r>
    </w:p>
    <w:p>
      <w:pPr>
        <w:spacing w:after="240" w:line="240" w:lineRule="auto"/>
        <w:ind w:left="720" w:right="720"/>
        <w:jc w:val="both"/>
      </w:pPr>
      <w:r>
        <w:rPr>
          <w:rFonts w:ascii="Times New Roman" w:hAnsi="Times New Roman" w:cs="Times New Roman" w:eastAsia="Times New Roman"/>
          <w:b w:val="0"/>
          <w:i w:val="0"/>
          <w:sz w:val="24"/>
        </w:rPr>
        <w:t xml:space="preserve">Cuando la conducta de un empleado no se ajuste a las normas establecidas, la Autoridad Nominadora impondrá la acción disciplinaria que corresponda. </w:t>
      </w:r>
      <w:r>
        <w:rPr>
          <w:rFonts w:ascii="Times New Roman" w:hAnsi="Times New Roman" w:cs="Times New Roman" w:eastAsia="Times New Roman"/>
          <w:b/>
          <w:i w:val="0"/>
          <w:sz w:val="24"/>
        </w:rPr>
        <w:t>Se establecerá mediante reglamentación interna las reglas de conducta de los empleados</w:t>
      </w:r>
      <w:r>
        <w:rPr>
          <w:rFonts w:ascii="Times New Roman" w:hAnsi="Times New Roman" w:cs="Times New Roman" w:eastAsia="Times New Roman"/>
          <w:b w:val="0"/>
          <w:i w:val="0"/>
          <w:sz w:val="24"/>
        </w:rPr>
        <w:t xml:space="preserve"> en armonía con las disposiciones de esta Sección y las acciones disciplinarias aplicables a esas reglas de conducta. </w:t>
      </w:r>
      <w:r>
        <w:rPr>
          <w:rFonts w:ascii="Times New Roman" w:hAnsi="Times New Roman" w:cs="Times New Roman" w:eastAsia="Times New Roman"/>
          <w:b/>
          <w:i w:val="0"/>
          <w:sz w:val="24"/>
        </w:rPr>
        <w:t>Se orientará a los empleados sobre la referida reglamentación</w:t>
      </w:r>
      <w:r>
        <w:rPr>
          <w:rFonts w:ascii="Times New Roman" w:hAnsi="Times New Roman" w:cs="Times New Roman" w:eastAsia="Times New Roman"/>
          <w:b w:val="0"/>
          <w:i w:val="0"/>
          <w:sz w:val="24"/>
        </w:rPr>
        <w:t xml:space="preserve"> al momento de éstos tomar posesión de sus puestos. [...] Entre otras medidas se podrán considerar la amonestación verbal, las reprimendas escritas, las suspensiones de empleo y sueldo y las destituciones. Se podrá destituir o suspender de empleo y sueldo a cualquier empleado, por justa causa, y previa formulación de cargos por escrito y advertencia de su derecho a una vista informal. [...] Se le advertirá sobre el derecho a solicitar una vista administrativa informal, dentro del término de diez (10) días de la notificación de la formulación de cargos para que explique su versión de los hechos. [...] Cuando la conducta imputada presente una situación real o potencial de peligro para la salud, vida o moral de los empleados o del pueblo en general se podrá suspender sumariamente de empleo temporeramente conservando su sueldo y los beneficios correspondientes al empleado antes de la celebración de la vista previa.</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Sección 9.8 del Reglamento extiende ese procedimiento a los empleados transitorios:</w:t>
      </w:r>
    </w:p>
    <w:p>
      <w:pPr>
        <w:spacing w:after="240" w:line="240" w:lineRule="auto"/>
        <w:ind w:left="720" w:right="720"/>
        <w:jc w:val="both"/>
      </w:pPr>
      <w:r>
        <w:rPr>
          <w:rFonts w:ascii="Times New Roman" w:hAnsi="Times New Roman" w:cs="Times New Roman" w:eastAsia="Times New Roman"/>
          <w:b w:val="0"/>
          <w:i w:val="0"/>
          <w:sz w:val="24"/>
        </w:rPr>
        <w:t>Los empleados transitorios podrán ser separados de sus puestos, antes del vencimiento de sus nombramientos, cuando sus servicios, hábitos o actitudes no sean satisfactorios, mediante formulación de cargos, un procedimiento de vista previa informal y a la observación de lo establecido en la sección 9.3 de este Reglamento.</w:t>
      </w:r>
    </w:p>
    <w:p>
      <w:pPr>
        <w:spacing w:after="240" w:line="240" w:lineRule="auto"/>
        <w:jc w:val="both"/>
      </w:pPr>
      <w:r>
        <w:rPr>
          <w:rFonts w:ascii="Times New Roman" w:hAnsi="Times New Roman" w:cs="Times New Roman" w:eastAsia="Times New Roman"/>
          <w:b w:val="0"/>
          <w:i w:val="0"/>
          <w:sz w:val="24"/>
        </w:rPr>
        <w:t>El Artículo 18 del Reglamento define la Autoridad Nominadora como la "Alcaldesa del Municipio de Naguabo". El Reglamento no contiene disposición alguna sobre uniformes, vestimenta o calzado.</w:t>
      </w:r>
    </w:p>
    <w:p>
      <w:pPr>
        <w:spacing w:after="240" w:line="240" w:lineRule="auto"/>
        <w:jc w:val="both"/>
      </w:pPr>
      <w:r>
        <w:rPr>
          <w:rFonts w:ascii="Times New Roman" w:hAnsi="Times New Roman" w:cs="Times New Roman" w:eastAsia="Times New Roman"/>
          <w:b w:val="0"/>
          <w:i w:val="0"/>
          <w:sz w:val="24"/>
        </w:rPr>
        <w:t>En el plano interpretativo administrativo, OSHA ha emitido cartas de interpretación pertinentes. En la carta de 28 de agosto de 2003, sobre uso de zapatos abiertos en un ambiente de oficina, OSHA indicó que no tiene una política específica sobre el uso de calzado abierto y que el requisito de protección de los pies no atiende a la ocupación sino al riesgo, de modo que deben evaluarse las actividades y el entorno del trabajador para determinar si existe riesgo de objetos que caigan sobre sus pies. [TEXTO POR VERIFICAR: https://www.osha.gov/laws-regs/standardinterpretations/2003-08-28.] En la carta de 9 de diciembre de 2013, sobre evaluación de riesgos para calzado, OSHA sostuvo que el patrono puede exigir calzado con puntera de seguridad en todo momento si realizó una evaluación de riesgos y concluyó que existen riesgos, y que si selecciona calzado con puntera no especializado que protege adecuadamente, no está obligado a proveerlo sin costo aunque su política exija usarlo en todo momento. [TEXTO POR VERIFICAR: https://www.osha.gov/laws-regs/standardinterpretations/2013-12-09.] En la carta de 11 de mayo de 2009, OSHA concluyó que las botas de goma con puntera de acero exigidas para pisos resbalosos son calzado especializado que el patrono debe pagar aunque permita su uso fuera del trabajo. [TEXTO POR VERIFICAR: https://www.osha.gov/laws-regs/standardinterpretations/2009-05-11.]</w:t>
      </w:r>
    </w:p>
    <w:p>
      <w:pPr>
        <w:spacing w:after="240" w:line="240" w:lineRule="auto"/>
        <w:jc w:val="both"/>
      </w:pPr>
      <w:r>
        <w:rPr>
          <w:rFonts w:ascii="Times New Roman" w:hAnsi="Times New Roman" w:cs="Times New Roman" w:eastAsia="Times New Roman"/>
          <w:b w:val="0"/>
          <w:i w:val="0"/>
          <w:sz w:val="24"/>
        </w:rPr>
        <w:t>La División de Horas y Salarios del Departamento del Trabajo federal, en su Hoja Informativa Núm. 16 sobre descuentos por uniformes y otras facilidades bajo la FLSA, explica lo siguiente: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The FLSA does not require that employees wear uniforms. However, if the wearing of a uniform is required by some other law, the nature of a business, or by an employer, the cost and maintenance of the uniform is considered to be a business expense of the employer. [...] Deductions made from wages for such items as cash or merchandise shortages, employer-required uniforms, and tools of the trade, are not legal </w:t>
      </w:r>
      <w:r>
        <w:rPr>
          <w:rFonts w:ascii="Times New Roman" w:hAnsi="Times New Roman" w:cs="Times New Roman" w:eastAsia="Times New Roman"/>
          <w:b/>
          <w:i w:val="0"/>
          <w:sz w:val="24"/>
        </w:rPr>
        <w:t>to the extent that they reduce the wages of employees below the minimum rate required by the FLSA</w:t>
      </w:r>
      <w:r>
        <w:rPr>
          <w:rFonts w:ascii="Times New Roman" w:hAnsi="Times New Roman" w:cs="Times New Roman" w:eastAsia="Times New Roman"/>
          <w:b w:val="0"/>
          <w:i w:val="0"/>
          <w:sz w:val="24"/>
        </w:rPr>
        <w:t xml:space="preserve"> or reduce the amount of overtime pay due under the FLSA.</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La misma agencia, en su Manual de Operaciones de Campo y en su carta de opinión de 30 de marzo de 2004 sobre prendas como uniformes bajo la FLSA, distingue entre un uniforme y la exigencia de un tipo general de ropa corriente:</w:t>
      </w:r>
    </w:p>
    <w:p>
      <w:pPr>
        <w:spacing w:after="240" w:line="240" w:lineRule="auto"/>
        <w:ind w:left="720" w:right="720"/>
        <w:jc w:val="both"/>
      </w:pPr>
      <w:r>
        <w:rPr>
          <w:rFonts w:ascii="Times New Roman" w:hAnsi="Times New Roman" w:cs="Times New Roman" w:eastAsia="Times New Roman"/>
          <w:b w:val="0"/>
          <w:i w:val="0"/>
          <w:sz w:val="24"/>
        </w:rPr>
        <w:t xml:space="preserve">[TEXTO POR VERIFICAR] If an employer merely </w:t>
      </w:r>
      <w:r>
        <w:rPr>
          <w:rFonts w:ascii="Times New Roman" w:hAnsi="Times New Roman" w:cs="Times New Roman" w:eastAsia="Times New Roman"/>
          <w:b/>
          <w:i w:val="0"/>
          <w:sz w:val="24"/>
        </w:rPr>
        <w:t>prescribes a general type of ordinary basic street clothing to be worn while working and permits variations in details of dress</w:t>
      </w:r>
      <w:r>
        <w:rPr>
          <w:rFonts w:ascii="Times New Roman" w:hAnsi="Times New Roman" w:cs="Times New Roman" w:eastAsia="Times New Roman"/>
          <w:b w:val="0"/>
          <w:i w:val="0"/>
          <w:sz w:val="24"/>
        </w:rPr>
        <w:t>, the garments chosen by the employees would not be considered to be uniforms.</w:t>
      </w:r>
    </w:p>
    <w:p>
      <w:pPr>
        <w:spacing w:after="240" w:line="240" w:lineRule="auto"/>
        <w:ind w:left="720" w:right="720"/>
        <w:jc w:val="right"/>
      </w:pPr>
      <w:r>
        <w:rPr>
          <w:rFonts w:ascii="Times New Roman" w:hAnsi="Times New Roman" w:cs="Times New Roman" w:eastAsia="Times New Roman"/>
          <w:b/>
          <w:i w:val="0"/>
          <w:sz w:val="24"/>
        </w:rPr>
        <w:t>Énfasis suplido.</w:t>
      </w:r>
    </w:p>
    <w:p>
      <w:pPr>
        <w:spacing w:after="240" w:line="240" w:lineRule="auto"/>
        <w:jc w:val="both"/>
      </w:pPr>
      <w:r>
        <w:rPr>
          <w:rFonts w:ascii="Times New Roman" w:hAnsi="Times New Roman" w:cs="Times New Roman" w:eastAsia="Times New Roman"/>
          <w:b w:val="0"/>
          <w:i w:val="0"/>
          <w:sz w:val="24"/>
        </w:rPr>
        <w:t>En el plano jurisprudencial, no hemos localizado opinión alguna del Tribunal Supremo de Puerto Rico ni sentencia del Tribunal de Apelaciones que resuelva la obligación de un patrono, municipal o privado, de sufragar botas o calzado exigido a sus empleados, ni que interprete la disposición de uniformes de la Ley 180-1998 en ese contexto. Se consultaron los repositorios de ambos foros del Poder Judicial mediante búsqueda por términos. Por ello, esta opinión no cita jurisprudencia y descansa en el texto de las fuentes estatutarias, reglamentarias e interpretativas citadas.</w:t>
      </w:r>
    </w:p>
    <w:p>
      <w:pPr>
        <w:spacing w:after="240" w:line="240" w:lineRule="auto"/>
        <w:jc w:val="left"/>
      </w:pPr>
      <w:r>
        <w:rPr>
          <w:rFonts w:ascii="Times New Roman" w:hAnsi="Times New Roman" w:cs="Times New Roman" w:eastAsia="Times New Roman"/>
          <w:b/>
          <w:i w:val="0"/>
          <w:sz w:val="24"/>
        </w:rPr>
        <w:t>II. Aplicación del derecho a los hechos</w:t>
      </w:r>
    </w:p>
    <w:p>
      <w:pPr>
        <w:spacing w:after="240" w:line="240" w:lineRule="auto"/>
        <w:jc w:val="both"/>
      </w:pPr>
      <w:r>
        <w:rPr>
          <w:rFonts w:ascii="Times New Roman" w:hAnsi="Times New Roman" w:cs="Times New Roman" w:eastAsia="Times New Roman"/>
          <w:b w:val="0"/>
          <w:i w:val="0"/>
          <w:sz w:val="24"/>
        </w:rPr>
        <w:t>La pregunta legal correcta es, por tanto, si el Municipio de Naguabo puede exigir a sus trabajadores de campo el uso de calzado cerrado o de botas regulares de trabajo, sin sufragarlo, y sancionar al empleado que se presente en chancletas, y bajo qué mecanismo debe hacerlo. Para contestarla hay que distinguir tres cuestiones. La primera es si la bota regular es equipo de protección personal que el patrono deba pagar. La segunda es si la regla convierte la bota en un uniforme que el patrono deba sufragar. La tercera es cómo debe adoptarse y aplicarse la regla en el sistema de personal de Naguabo.</w:t>
      </w:r>
    </w:p>
    <w:p>
      <w:pPr>
        <w:spacing w:after="240" w:line="240" w:lineRule="auto"/>
        <w:jc w:val="both"/>
      </w:pPr>
      <w:r>
        <w:rPr>
          <w:rFonts w:ascii="Times New Roman" w:hAnsi="Times New Roman" w:cs="Times New Roman" w:eastAsia="Times New Roman"/>
          <w:b w:val="0"/>
          <w:i w:val="0"/>
          <w:sz w:val="24"/>
        </w:rPr>
        <w:t>En primer lugar, la bota regular de trabajo no es equipo de protección personal sujeto a la obligación de pago del 29 CFR § 1910.132(h). La obligación de pago de ese inciso alcanza únicamente al equipo "used to comply with this part", esto es, al equipo que el patrono usa para cumplir una norma de protección, y el inciso (h)(4) excluye de forma expresa la ropa cotidiana, incluidos los zapatos de calle y las "normal work boots". Según los hechos informados, el Municipio no exige botas de seguridad con puntera, metatarsales, dieléctricas ni de otro tipo especializado, sino botas regulares. En ese supuesto, la regla de calzado cerrado es una norma de vestimenta y de seguridad básica que el patrono puede imponer sin que la norma federal, adoptada por el plan estatal, le obligue a costearla. Las cartas interpretativas de OSHA confirman que la agencia no tiene una política sobre calzado abierto y que el asunto se rige por el riesgo del puesto, de modo que, en ausencia de riesgo que exija calzado protector, la prohibición de chancletas queda en el ámbito de la facultad de dirección del patrono.</w:t>
      </w:r>
    </w:p>
    <w:p>
      <w:pPr>
        <w:spacing w:after="240" w:line="240" w:lineRule="auto"/>
        <w:jc w:val="both"/>
      </w:pPr>
      <w:r>
        <w:rPr>
          <w:rFonts w:ascii="Times New Roman" w:hAnsi="Times New Roman" w:cs="Times New Roman" w:eastAsia="Times New Roman"/>
          <w:b w:val="0"/>
          <w:i w:val="0"/>
          <w:sz w:val="24"/>
        </w:rPr>
        <w:t>No obstante, esta conclusión depende de un presupuesto de hecho que el Municipio debe verificar y documentar. El 29 CFR § 1910.132(d)(1) exige al patrono evaluar el lugar de trabajo para determinar si existen riesgos que requieran equipo de protección personal, y el 29 CFR § 1910.136(a) exige calzado protector cuando existe peligro de lesión en los pies por objetos que caen o ruedan, por objetos que perforan la suela o por riesgo eléctrico. Los puestos de trabajador en obras públicas, mantenimiento y recogido de desperdicios están, por su naturaleza, próximos a esos riesgos. Si la evaluación de riesgos por puesto, que el Municipio debe realizar y conservar por escrito, identifica cualquiera de ellos, la bota regular deja de ser suficiente, el calzado exigido pasa a ser equipo de protección personal, y la obligación de pago se rige por el inciso (h). En ese escenario, el Municipio no tendría que pagar la bota corriente con puntera de seguridad si permite su uso fuera del trabajo, pero sí tendría que pagar todo calzado especializado. Advertimos, además, que el índice de normas de PR OSHA lista un documento sobre pago de equipo de protección personal rotulado como no adoptado, cuyo contenido no pudimos examinar. Si PR OSHA no adoptó el inciso (h), el Municipio perdería la excepción escrita para el calzado corriente con puntera y quedaría sujeto al deber general de proveer el equipo que la evaluación de riesgos identifique. Este punto debe confirmarse con PR OSHA antes de que el Municipio adopte cualquier política que exija calzado protector sin pagarlo.</w:t>
      </w:r>
    </w:p>
    <w:p>
      <w:pPr>
        <w:spacing w:after="240" w:line="240" w:lineRule="auto"/>
        <w:jc w:val="both"/>
      </w:pPr>
      <w:r>
        <w:rPr>
          <w:rFonts w:ascii="Times New Roman" w:hAnsi="Times New Roman" w:cs="Times New Roman" w:eastAsia="Times New Roman"/>
          <w:b w:val="0"/>
          <w:i w:val="0"/>
          <w:sz w:val="24"/>
        </w:rPr>
        <w:t>En segundo lugar, la regla de calzado cerrado no convierte la bota en un uniforme siempre que se diseñe como la exigencia de un tipo general de ropa corriente. Bajo la FLSA, el Departamento del Trabajo federal distingue entre el uniforme, cuyo costo es gasto del patrono, y la prescripción de "a general type of ordinary basic street clothing" con variaciones permitidas, que no es uniforme. Si el Municipio exige calzado cerrado, bota o zapato de trabajo de cualquier marca, color, modelo o estilo, sin logo ni identificación municipal, está prescribiendo un tipo general de ropa corriente, y el empleado escoge la prenda como parte de su vestimenta personal. Bajo ese diseño no hay uniforme que sufragar bajo la FLSA, y la única limitación federal es que el costo del calzado, si el Municipio lo exigiera como herramienta del oficio bajo el 29 CFR § 531.35, no reduzca la paga de una semana por debajo del salario mínimo federal ni de las horas extra debidas. Ese riesgo es remoto para el trabajador municipal que devenga por encima del mínimo federal, pero el Municipio debe abstenerse de exigir un calzado de costo desproporcionado y, sobre todo, de descontar su costo de la nómina.</w:t>
      </w:r>
    </w:p>
    <w:p>
      <w:pPr>
        <w:spacing w:after="240" w:line="240" w:lineRule="auto"/>
        <w:jc w:val="both"/>
      </w:pPr>
      <w:r>
        <w:rPr>
          <w:rFonts w:ascii="Times New Roman" w:hAnsi="Times New Roman" w:cs="Times New Roman" w:eastAsia="Times New Roman"/>
          <w:b w:val="0"/>
          <w:i w:val="0"/>
          <w:sz w:val="24"/>
        </w:rPr>
        <w:t>El mismo diseño protege al Municipio frente a la disposición de uniformes de la Ley 180-1998, 29 LPRA § 250e. Esa disposición obliga al patrono que "requiera a sus empleados el uso de uniformes" a sufragarlos, bajo sanción penal. Históricamente, el Artículo 3 de esa ley excluía a los empleados de los gobiernos municipales, pero las fuentes localizadas indican que la Ley 47-2021 derogó ese artículo, y no hemos podido confirmar si la exclusión subsiste en el texto vigente. Por prudencia, esta opinión no descansa en la exclusión municipal. La solución correcta es que la regla no constituya un uniforme, lo que se logra si el Municipio no prescribe una bota específica, no exige color, modelo ni identificación, y deja al empleado la elección del calzado cerrado que prefiera. La Ley 180-1998 no define el término uniforme y no hemos localizado jurisprudencia local que lo interprete, por lo que el criterio federal del tipo general de ropa corriente es persuasivo, no vinculante, y por ello recomendamos que la regla lo incorpore de forma expresa.</w:t>
      </w:r>
    </w:p>
    <w:p>
      <w:pPr>
        <w:spacing w:after="240" w:line="240" w:lineRule="auto"/>
        <w:jc w:val="both"/>
      </w:pPr>
      <w:r>
        <w:rPr>
          <w:rFonts w:ascii="Times New Roman" w:hAnsi="Times New Roman" w:cs="Times New Roman" w:eastAsia="Times New Roman"/>
          <w:b w:val="0"/>
          <w:i w:val="0"/>
          <w:sz w:val="24"/>
        </w:rPr>
        <w:t>En tercer lugar, la facultad del Municipio para imponer la regla es clara, pero su ejercicio requiere un instrumento escrito y notificado. El Artículo 1.018(m) del Código Municipal faculta a la Alcaldesa a "[p]romulgar las reglas a que estarán sujetos los funcionarios y empleados municipales en el cumplimiento de sus deberes y obligaciones". El Artículo 2.005(c) y (e) faculta a los directores de unidades administrativas a impartir instrucciones específicas y a velar por el cumplimiento de las normas. El Artículo 2.052(a)(4) y (8) obliga a todo empleado, con independencia de su estado legal, a acatar las órdenes de sus supervisores y a cumplir las reglas adoptadas en virtud del Código. Ahora bien, la Sección 9.3 del Reglamento de Naguabo dispone que las reglas de conducta de los empleados y las acciones disciplinarias aplicables a esas reglas "[s]e establecerá[n] mediante reglamentación interna", y que se orientará a los empleados sobre esa reglamentación. El Reglamento vigente no contiene regla alguna sobre vestimenta o calzado. Por tanto, una instrucción verbal o una práctica de los supervisores no basta para sostener una acción disciplinaria formal. El Municipio debe adoptar la regla por escrito, mediante una orden administrativa de la Alcaldesa o una norma interna de vestimenta y seguridad para el personal de campo emitida al amparo del Artículo 1.018(m) del Código Municipal y de la Sección 9.3 del Reglamento, notificarla individualmente con acuse de recibo y conceder un plazo razonable de transición antes de aplicarla.</w:t>
      </w:r>
    </w:p>
    <w:p>
      <w:pPr>
        <w:spacing w:after="240" w:line="240" w:lineRule="auto"/>
        <w:jc w:val="both"/>
      </w:pPr>
      <w:r>
        <w:rPr>
          <w:rFonts w:ascii="Times New Roman" w:hAnsi="Times New Roman" w:cs="Times New Roman" w:eastAsia="Times New Roman"/>
          <w:b w:val="0"/>
          <w:i w:val="0"/>
          <w:sz w:val="24"/>
        </w:rPr>
        <w:t>El contenido mínimo de esa norma debe ser el siguiente. Calzado cerrado obligatorio durante toda la jornada para el personal de campo, con prohibición expresa de chancletas, sandalias, calzado abierto de punta o de talón y calzado sin suela firme. Libertad del empleado para escoger cualquier bota o zapato de trabajo cerrado, sin marca, color, modelo ni identificación municipal, con la declaración expresa de que el Municipio no establece un uniforme de calzado y de que el empleado lo adquiere como parte de su vestimenta personal. Prohibición de descuentos de nómina por este concepto, en armonía con la Sección 5 de la Ley 17-1931 y con la FLSA. Verificación por el supervisor inmediato al inicio de la jornada. Un plazo de transición de treinta (30) días desde la notificación. Y la advertencia de que el incumplimiento constituye violación del Artículo 2.052(a)(4) y (8) del Código Municipal y de la Sección 9.2 del Reglamento, sujeta a las acciones disciplinarias de la Sección 9.3.</w:t>
      </w:r>
    </w:p>
    <w:p>
      <w:pPr>
        <w:spacing w:after="240" w:line="240" w:lineRule="auto"/>
        <w:jc w:val="both"/>
      </w:pPr>
      <w:r>
        <w:rPr>
          <w:rFonts w:ascii="Times New Roman" w:hAnsi="Times New Roman" w:cs="Times New Roman" w:eastAsia="Times New Roman"/>
          <w:b w:val="0"/>
          <w:i w:val="0"/>
          <w:sz w:val="24"/>
        </w:rPr>
        <w:t>En cuanto a la consecuencia para el empleado que se presente en chancletas una vez vigente la norma, el Municipio tiene dos opciones, que pueden combinarse. La primera es la medida operacional inmediata. El supervisor no debe asignar a labores de campo al empleado que carezca de calzado cerrado, porque hacerlo expondría al Municipio al riesgo de un accidente previsible. El empleado puede ser retenido en tareas seguras dentro de la dependencia o enviado a corregir su calzado, con cargo a su tiempo, según lo disponga la norma. La segunda es la medida disciplinaria progresiva conforme al Artículo 2.053 del Código Municipal y a la Sección 9.3 del Reglamento. La amonestación verbal y la reprimenda escrita pueden imponerse por la Autoridad Nominadora o su representante autorizado sin formulación de cargos, y son las medidas idóneas para la primera y la segunda infracción. La suspensión de empleo y sueldo y la destitución requieren justa causa, formulación de cargos por escrito, advertencia del derecho a solicitar vista informal dentro de diez (10) días y determinación final de la Alcaldesa con advertencia del derecho de apelación ante la Comisión Apelativa del Servicio Público. Esas medidas quedan reservadas para la reincidencia contumaz. Para los empleados transitorios, la Sección 9.8 del Reglamento exige el mismo procedimiento de la Sección 9.3 para separarlos antes del vencimiento de su nombramiento, y el Artículo 2.052 del Código Municipal les aplica por igual, de modo que la norma debe extenderse a ellos por su propio texto, dado que el Artículo 4 del Reglamento limita su aplicación al servicio de carrera. Advertimos que enviar a un empleado a su casa sin paga por el resto de la jornada es, en sustancia, una suspensión de empleo y sueldo, y no debe practicarse sin el procedimiento de la Sección 9.3. La suspensión sumaria con sueldo que autoriza esa Sección para situaciones de peligro real o potencial a la salud o vida de los empleados es la vía correcta si el Municipio entiende que el empleado en chancletas no puede permanecer en el área de trabajo ese día.</w:t>
      </w:r>
    </w:p>
    <w:p>
      <w:pPr>
        <w:spacing w:after="240" w:line="240" w:lineRule="auto"/>
        <w:jc w:val="both"/>
      </w:pPr>
      <w:r>
        <w:rPr>
          <w:rFonts w:ascii="Times New Roman" w:hAnsi="Times New Roman" w:cs="Times New Roman" w:eastAsia="Times New Roman"/>
          <w:b w:val="0"/>
          <w:i w:val="0"/>
          <w:sz w:val="24"/>
        </w:rPr>
        <w:t>En cuarto lugar, el Municipio puede, sin estar obligado a ello, facilitar el cumplimiento mediante un beneficio. El Artículo 2.056(q)(1)(viii) del Código Municipal autoriza a incorporar al reglamento, conforme a la capacidad presupuestaria, "uniformes a todo empleado que lo requiera por la naturaleza del servicio que realiza", y el Artículo 1.018(n) faculta a la Alcaldesa a propiciar programas que contribuyan al clima de trabajo. Otros municipios han aprobado por ordenanza una obvención anual para la compra de botas de trabajo por parte del personal de campo. Si el Municipio de Naguabo opta por esa vía, el beneficio debe establecerse por ordenanza o por enmienda al plan de retribución aprobada por la Legislatura Municipal, con partida presupuestaria, porque de lo contrario el desembolso carecería de base legal y se expondría a un señalamiento de la Oficina del Contralor de Puerto Rico. Debe advertirse, sin embargo, que si el Municipio adopta un beneficio de uniformes bajo ese inciso, conviene que la ordenanza lo describa como subsidio para calzado de trabajo de libre elección, y no como uniforme exigido, para no activar la disposición de uniformes de la Ley 180-1998 en caso de que la exclusión municipal haya desaparecido.</w:t>
      </w:r>
    </w:p>
    <w:p>
      <w:pPr>
        <w:spacing w:after="240" w:line="240" w:lineRule="auto"/>
        <w:jc w:val="both"/>
      </w:pPr>
      <w:r>
        <w:rPr>
          <w:rFonts w:ascii="Times New Roman" w:hAnsi="Times New Roman" w:cs="Times New Roman" w:eastAsia="Times New Roman"/>
          <w:b w:val="0"/>
          <w:i w:val="0"/>
          <w:sz w:val="24"/>
        </w:rPr>
        <w:t>Existen, por tanto, dos alternativas. La primera es adoptar únicamente la norma de calzado cerrado de tipo general, sin subsidio, notificarla y aplicarla con disciplina progresiva. Es la opción de menor costo y de plena base legal, y es defendible porque la bota regular es ropa cotidiana que el empleado adquiere para sí. La segunda es adoptar la misma norma acompañada de una obvención por ordenanza. Es la opción que reduce la resistencia del personal y el riesgo de reclamaciones, a cambio de un costo recurrente y de la necesidad de acción legislativa municipal. En ambas alternativas, la evaluación de riesgos por puesto es indispensable, porque es la que determina si la bota regular basta o si el Municipio debe pasar a un calzado protector cuyo pago se rige por reglas distintas.</w:t>
      </w:r>
    </w:p>
    <w:p>
      <w:pPr>
        <w:spacing w:after="240" w:line="240" w:lineRule="auto"/>
        <w:jc w:val="left"/>
      </w:pPr>
      <w:r>
        <w:rPr>
          <w:rFonts w:ascii="Times New Roman" w:hAnsi="Times New Roman" w:cs="Times New Roman" w:eastAsia="Times New Roman"/>
          <w:b/>
          <w:i w:val="0"/>
          <w:sz w:val="24"/>
        </w:rPr>
        <w:t>III. Conclusión</w:t>
      </w:r>
    </w:p>
    <w:p>
      <w:pPr>
        <w:spacing w:after="240" w:line="240" w:lineRule="auto"/>
        <w:jc w:val="both"/>
      </w:pPr>
      <w:r>
        <w:rPr>
          <w:rFonts w:ascii="Times New Roman" w:hAnsi="Times New Roman" w:cs="Times New Roman" w:eastAsia="Times New Roman"/>
          <w:b w:val="0"/>
          <w:i w:val="0"/>
          <w:sz w:val="24"/>
        </w:rPr>
        <w:t>A la luz de lo anterior, y de una lectura integral del marco constitucional, federal, estatutario, reglamentario, e interpretativo aplicable, concluimos lo siguiente.</w:t>
      </w:r>
    </w:p>
    <w:p>
      <w:pPr>
        <w:spacing w:after="240" w:line="240" w:lineRule="auto"/>
        <w:jc w:val="both"/>
      </w:pPr>
      <w:r>
        <w:rPr>
          <w:rFonts w:ascii="Times New Roman" w:hAnsi="Times New Roman" w:cs="Times New Roman" w:eastAsia="Times New Roman"/>
          <w:b/>
          <w:i w:val="0"/>
          <w:sz w:val="24"/>
        </w:rPr>
        <w:t xml:space="preserve">Primero, </w:t>
      </w:r>
      <w:r>
        <w:rPr>
          <w:rFonts w:ascii="Times New Roman" w:hAnsi="Times New Roman" w:cs="Times New Roman" w:eastAsia="Times New Roman"/>
          <w:b w:val="0"/>
          <w:i w:val="0"/>
          <w:sz w:val="24"/>
        </w:rPr>
        <w:t>el Municipio de Naguabo puede exigir a sus trabajadores de campo el uso de calzado cerrado o de botas regulares de trabajo y prohibir el uso de chancletas, al amparo del Artículo 1.018(m) del Código Municipal, del deber de obediencia del Artículo 2.052(a)(4) y (8) del mismo Código y de la Sección 9.2 del Reglamento, y de su deber como patrono de mantener un lugar de trabajo seguro.</w:t>
      </w:r>
    </w:p>
    <w:p>
      <w:pPr>
        <w:spacing w:after="240" w:line="240" w:lineRule="auto"/>
        <w:jc w:val="both"/>
      </w:pPr>
      <w:r>
        <w:rPr>
          <w:rFonts w:ascii="Times New Roman" w:hAnsi="Times New Roman" w:cs="Times New Roman" w:eastAsia="Times New Roman"/>
          <w:b/>
          <w:i w:val="0"/>
          <w:sz w:val="24"/>
        </w:rPr>
        <w:t xml:space="preserve">Segundo, </w:t>
      </w:r>
      <w:r>
        <w:rPr>
          <w:rFonts w:ascii="Times New Roman" w:hAnsi="Times New Roman" w:cs="Times New Roman" w:eastAsia="Times New Roman"/>
          <w:b w:val="0"/>
          <w:i w:val="0"/>
          <w:sz w:val="24"/>
        </w:rPr>
        <w:t>la bota regular de trabajo, sin puntera ni atributo de protección, es ropa cotidiana excluida de la obligación de pago del 29 CFR § 1910.132(h)(4), por lo que el Municipio no viene obligado a pagarla mientras la evaluación de riesgos por puesto no identifique un peligro de lesión en los pies que exija calzado protector conforme al 29 CFR § 1910.136(a). Si lo identifica, el calzado exigido pasa a ser equipo de protección personal y su pago se rige por el inciso (h), con la salvedad, pendiente de confirmar con PR OSHA, de si Puerto Rico adoptó ese inciso.</w:t>
      </w:r>
    </w:p>
    <w:p>
      <w:pPr>
        <w:spacing w:after="240" w:line="240" w:lineRule="auto"/>
        <w:jc w:val="both"/>
      </w:pPr>
      <w:r>
        <w:rPr>
          <w:rFonts w:ascii="Times New Roman" w:hAnsi="Times New Roman" w:cs="Times New Roman" w:eastAsia="Times New Roman"/>
          <w:b/>
          <w:i w:val="0"/>
          <w:sz w:val="24"/>
        </w:rPr>
        <w:t xml:space="preserve">Tercero, </w:t>
      </w:r>
      <w:r>
        <w:rPr>
          <w:rFonts w:ascii="Times New Roman" w:hAnsi="Times New Roman" w:cs="Times New Roman" w:eastAsia="Times New Roman"/>
          <w:b w:val="0"/>
          <w:i w:val="0"/>
          <w:sz w:val="24"/>
        </w:rPr>
        <w:t>la regla debe diseñarse como la exigencia de un tipo general de calzado cerrado de libre elección, sin marca, color, modelo ni identificación municipal, para que no constituya un uniforme bajo la FLSA ni bajo la disposición de uniformes de la Ley 180-1998, cuya exclusión de los gobiernos municipales no hemos podido confirmar tras la Ley 47-2021. Bajo ningún concepto debe el Municipio descontar de la nómina el costo del calzado.</w:t>
      </w:r>
    </w:p>
    <w:p>
      <w:pPr>
        <w:spacing w:after="240" w:line="240" w:lineRule="auto"/>
        <w:jc w:val="both"/>
      </w:pPr>
      <w:r>
        <w:rPr>
          <w:rFonts w:ascii="Times New Roman" w:hAnsi="Times New Roman" w:cs="Times New Roman" w:eastAsia="Times New Roman"/>
          <w:b/>
          <w:i w:val="0"/>
          <w:sz w:val="24"/>
        </w:rPr>
        <w:t xml:space="preserve">Cuarto, </w:t>
      </w:r>
      <w:r>
        <w:rPr>
          <w:rFonts w:ascii="Times New Roman" w:hAnsi="Times New Roman" w:cs="Times New Roman" w:eastAsia="Times New Roman"/>
          <w:b w:val="0"/>
          <w:i w:val="0"/>
          <w:sz w:val="24"/>
        </w:rPr>
        <w:t>la regla debe adoptarse por escrito mediante orden administrativa de la Alcaldesa o norma interna de vestimenta y seguridad para el personal de campo, conforme exige la Sección 9.3 del Reglamento, notificarse individualmente con acuse de recibo, conceder un plazo de transición razonable y extenderse por su propio texto a los empleados transitorios, dado que el Artículo 4 del Reglamento limita su aplicación al servicio de carrera.</w:t>
      </w:r>
    </w:p>
    <w:p>
      <w:pPr>
        <w:spacing w:after="240" w:line="240" w:lineRule="auto"/>
        <w:jc w:val="both"/>
      </w:pPr>
      <w:r>
        <w:rPr>
          <w:rFonts w:ascii="Times New Roman" w:hAnsi="Times New Roman" w:cs="Times New Roman" w:eastAsia="Times New Roman"/>
          <w:b/>
          <w:i w:val="0"/>
          <w:sz w:val="24"/>
        </w:rPr>
        <w:t xml:space="preserve">Quinto, </w:t>
      </w:r>
      <w:r>
        <w:rPr>
          <w:rFonts w:ascii="Times New Roman" w:hAnsi="Times New Roman" w:cs="Times New Roman" w:eastAsia="Times New Roman"/>
          <w:b w:val="0"/>
          <w:i w:val="0"/>
          <w:sz w:val="24"/>
        </w:rPr>
        <w:t>el empleado que se presente en chancletas una vez vigente la norma no debe ser asignado a labores de campo ese día, y queda sujeto a disciplina progresiva conforme al Artículo 2.053 del Código Municipal y a la Sección 9.3 del Reglamento. La amonestación verbal y la reprimenda escrita proceden sin formulación de cargos. La suspensión de empleo y sueldo y la destitución requieren justa causa, cargos por escrito, oportunidad de vista informal y advertencia del derecho de apelación ante la Comisión Apelativa del Servicio Público. Enviar al empleado a su casa sin paga sin ese procedimiento equivale a una suspensión de empleo y sueldo irregular.</w:t>
      </w:r>
    </w:p>
    <w:p>
      <w:pPr>
        <w:spacing w:after="240" w:line="240" w:lineRule="auto"/>
        <w:jc w:val="both"/>
      </w:pPr>
      <w:r>
        <w:rPr>
          <w:rFonts w:ascii="Times New Roman" w:hAnsi="Times New Roman" w:cs="Times New Roman" w:eastAsia="Times New Roman"/>
          <w:b/>
          <w:i w:val="0"/>
          <w:sz w:val="24"/>
        </w:rPr>
        <w:t xml:space="preserve">Sexto, </w:t>
      </w:r>
      <w:r>
        <w:rPr>
          <w:rFonts w:ascii="Times New Roman" w:hAnsi="Times New Roman" w:cs="Times New Roman" w:eastAsia="Times New Roman"/>
          <w:b w:val="0"/>
          <w:i w:val="0"/>
          <w:sz w:val="24"/>
        </w:rPr>
        <w:t>el Municipio debe realizar y documentar de inmediato una evaluación de riesgos por clasificación de puesto para su personal de campo, conforme al 29 CFR § 1910.132(d)(1), tanto para sostener la regla de calzado cerrado como para determinar si algún puesto requiere calzado protector y, en ese caso, quién lo paga.</w:t>
      </w:r>
    </w:p>
    <w:p>
      <w:pPr>
        <w:spacing w:after="240" w:line="240" w:lineRule="auto"/>
        <w:jc w:val="both"/>
      </w:pPr>
      <w:r>
        <w:rPr>
          <w:rFonts w:ascii="Times New Roman" w:hAnsi="Times New Roman" w:cs="Times New Roman" w:eastAsia="Times New Roman"/>
          <w:b/>
          <w:i w:val="0"/>
          <w:sz w:val="24"/>
        </w:rPr>
        <w:t xml:space="preserve">Séptimo, </w:t>
      </w:r>
      <w:r>
        <w:rPr>
          <w:rFonts w:ascii="Times New Roman" w:hAnsi="Times New Roman" w:cs="Times New Roman" w:eastAsia="Times New Roman"/>
          <w:b w:val="0"/>
          <w:i w:val="0"/>
          <w:sz w:val="24"/>
        </w:rPr>
        <w:t>el Municipio puede, sin estar obligado, aprobar por ordenanza o por enmienda al plan de retribución una obvención para la compra de calzado de trabajo de libre elección, al amparo del Artículo 2.056(q)(1)(viii) y del Artículo 1.018(n) del Código Municipal, siempre con base legal y partida presupuestaria, para evitar un señalamiento de la Oficina del Contralor por desembolso sin autorización.</w:t>
      </w:r>
    </w:p>
    <w:p>
      <w:pPr>
        <w:spacing w:after="240" w:line="240" w:lineRule="auto"/>
        <w:jc w:val="both"/>
      </w:pPr>
      <w:r>
        <w:rPr>
          <w:rFonts w:ascii="Times New Roman" w:hAnsi="Times New Roman" w:cs="Times New Roman" w:eastAsia="Times New Roman"/>
          <w:b w:val="0"/>
          <w:i w:val="0"/>
          <w:sz w:val="24"/>
        </w:rPr>
        <w:t>Esta secuencia es la que mejor armoniza el deber constitucional y estatutario del Municipio de proteger la seguridad de sus trabajadores, la facultad de la Alcaldesa de reglamentar la conducta de los empleados y sancionar su incumplimiento, y las garantías procesales que el Código Municipal y el Reglamento de Naguabo reconocen a los empleados de carrera y transitorios, sin exponer al Municipio a reclamaciones salariales ni a señalamientos de la Oficina del Contralor. Recomendamos que, antes de la distribución final de esta opinión, se cotejen contra sus fuentes primarias las autoridades marcadas con las leyendas [TEXTO POR VERIFICAR] y [CITA POR VERIFICAR], y que se someta a nuestra revisión el borrador de la orden administrativa o norma interna que el Municipio se proponga adoptar.</w:t>
      </w:r>
    </w:p>
    <w:p>
      <w:pPr>
        <w:spacing w:after="240" w:line="240" w:lineRule="auto"/>
        <w:jc w:val="left"/>
      </w:pPr>
      <w:r>
        <w:rPr>
          <w:rFonts w:ascii="Times New Roman" w:hAnsi="Times New Roman" w:cs="Times New Roman" w:eastAsia="Times New Roman"/>
          <w:b w:val="0"/>
          <w:i w:val="0"/>
          <w:sz w:val="24"/>
        </w:rPr>
        <w:t>Atentamente,</w:t>
      </w:r>
    </w:p>
    <w:p>
      <w:pPr>
        <w:spacing w:after="0" w:line="240" w:lineRule="auto"/>
        <w:jc w:val="both"/>
      </w:pPr>
    </w:p>
    <w:p>
      <w:pPr>
        <w:spacing w:after="0" w:line="240" w:lineRule="auto"/>
        <w:jc w:val="both"/>
      </w:pPr>
    </w:p>
    <w:p>
      <w:pPr>
        <w:spacing w:after="0" w:line="240" w:lineRule="auto"/>
        <w:jc w:val="both"/>
      </w:pPr>
    </w:p>
    <w:p>
      <w:pPr>
        <w:spacing w:after="240" w:line="240" w:lineRule="auto"/>
        <w:jc w:val="left"/>
      </w:pPr>
      <w:r>
        <w:rPr>
          <w:rFonts w:ascii="Times New Roman" w:hAnsi="Times New Roman" w:cs="Times New Roman" w:eastAsia="Times New Roman"/>
          <w:b w:val="0"/>
          <w:i w:val="0"/>
          <w:sz w:val="24"/>
        </w:rPr>
        <w:t>Lcdo. Carlos M. Santini Rodríguez</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
  <Lines>0</Lines>
  <Paragraphs>0</Paragraphs>
  <ScaleCrop/>
  <HeadingPairs>
    <vt:vector size="2" baseType="variant">
      <vt:variant>
        <vt:lpstr>Title</vt:lpstr>
      </vt:variant>
      <vt:variant>
        <vt:i4>1</vt:i4>
      </vt:variant>
    </vt:vector>
  </HeadingPairs>
  <TitlesOfParts>
    <vt:vector size="1" baseType="lpstr">
      <vt:lpstr/>
    </vt:vector>
  </TitlesOfParts>
  <Manager/>
  <Company/>
  <LinksUpToDate/>
  <CharactersWithSpaces>0</CharactersWithSpaces>
  <SharedDoc/>
  <HyperlinkBase/>
  <HyperlinksChanged/>
  <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
  <dcterms:created xsi:type="dcterms:W3CDTF">2013-12-23T23:15:00Z</dcterms:created>
  <dcterms:modified xsi:type="dcterms:W3CDTF">2013-12-23T23:15:00Z</dcterms:modified>
  <cp:category/>
  <cp:contentStatus/>
  <dc:identifier/>
  <dc:language/>
  <cp:version/>
</cp:coreProperties>
</file>