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cs="Times New Roman" w:eastAsia="Times New Roman"/>
          <w:b/>
          <w:i w:val="0"/>
          <w:sz w:val="28"/>
        </w:rPr>
        <w:t>HANDOFF MEMORANDUM</w:t>
      </w:r>
    </w:p>
    <w:p>
      <w:pPr>
        <w:spacing w:after="40"/>
        <w:jc w:val="left"/>
      </w:pPr>
      <w:r>
        <w:rPr>
          <w:rFonts w:ascii="Times New Roman" w:hAnsi="Times New Roman" w:cs="Times New Roman" w:eastAsia="Times New Roman"/>
          <w:b w:val="0"/>
          <w:i w:val="0"/>
          <w:sz w:val="24"/>
        </w:rPr>
        <w:t>To: File / Lcdo. Carlos M. Santini Rodríguez</w:t>
      </w:r>
    </w:p>
    <w:p>
      <w:pPr>
        <w:spacing w:after="40"/>
        <w:jc w:val="left"/>
      </w:pPr>
      <w:r>
        <w:rPr>
          <w:rFonts w:ascii="Times New Roman" w:hAnsi="Times New Roman" w:cs="Times New Roman" w:eastAsia="Times New Roman"/>
          <w:b w:val="0"/>
          <w:i w:val="0"/>
          <w:sz w:val="24"/>
        </w:rPr>
        <w:t>From: Sesión de Claude Code (session_01EmEwTBMicmabYEZhpbPz8R)</w:t>
      </w:r>
    </w:p>
    <w:p>
      <w:pPr>
        <w:spacing w:after="40"/>
        <w:jc w:val="left"/>
      </w:pPr>
      <w:r>
        <w:rPr>
          <w:rFonts w:ascii="Times New Roman" w:hAnsi="Times New Roman" w:cs="Times New Roman" w:eastAsia="Times New Roman"/>
          <w:b w:val="0"/>
          <w:i w:val="0"/>
          <w:sz w:val="24"/>
        </w:rPr>
        <w:t>Date: 9 de septiembre de 2026</w:t>
      </w:r>
    </w:p>
    <w:p>
      <w:pPr>
        <w:spacing w:after="280"/>
        <w:jc w:val="left"/>
      </w:pPr>
      <w:r>
        <w:rPr>
          <w:rFonts w:ascii="Times New Roman" w:hAnsi="Times New Roman" w:cs="Times New Roman" w:eastAsia="Times New Roman"/>
          <w:b w:val="0"/>
          <w:i w:val="0"/>
          <w:sz w:val="24"/>
        </w:rPr>
        <w:t>Re: Municipio de Naguabo. Calzado exigido a trabajadores de campo, obligación de pago y prohibición de chancletas. Investigación y opinión legal dirigida a la Sra. Rosa Méndez Cabret, Directora de Recursos Humanos.</w:t>
      </w:r>
    </w:p>
    <w:p>
      <w:pPr>
        <w:spacing w:after="120"/>
        <w:jc w:val="left"/>
      </w:pPr>
      <w:r>
        <w:rPr>
          <w:rFonts w:ascii="Times New Roman" w:hAnsi="Times New Roman" w:cs="Times New Roman" w:eastAsia="Times New Roman"/>
          <w:b/>
          <w:i w:val="0"/>
          <w:sz w:val="24"/>
        </w:rPr>
        <w:t>1. Trasfondo y contexto</w:t>
      </w:r>
    </w:p>
    <w:p>
      <w:pPr>
        <w:spacing w:after="200"/>
        <w:jc w:val="both"/>
      </w:pPr>
      <w:r>
        <w:rPr>
          <w:rFonts w:ascii="Times New Roman" w:hAnsi="Times New Roman" w:cs="Times New Roman" w:eastAsia="Times New Roman"/>
          <w:b w:val="0"/>
          <w:i w:val="0"/>
          <w:sz w:val="24"/>
        </w:rPr>
        <w:t>El asunto comenzó el 8 de septiembre de 2026 con la carga de un prompt de investigación titulado "Uniformes y botas exigidos a empleados municipales en Puerto Rico. Obligación del municipio de pagarlos", con instrucción de actuar sobre él. El prompt exigía verificar toda autoridad contra fuentes primarias (Biblioteca Virtual OGP para estatutos, eCFR y OSHA para normas federales, ambos foros del Poder Judicial para jurisprudencia), excluir casos "In re" y "Pueblo v.", y rotular como no verificada toda proposición sin fuente primaria abierta.</w:t>
      </w:r>
    </w:p>
    <w:p>
      <w:pPr>
        <w:spacing w:after="200"/>
        <w:jc w:val="both"/>
      </w:pPr>
      <w:r>
        <w:rPr>
          <w:rFonts w:ascii="Times New Roman" w:hAnsi="Times New Roman" w:cs="Times New Roman" w:eastAsia="Times New Roman"/>
          <w:b w:val="0"/>
          <w:i w:val="0"/>
          <w:sz w:val="24"/>
        </w:rPr>
        <w:t>La sesión corrió en un contenedor remoto cuya política de red bloqueó todos los dominios de fuentes primarias (bvirtualogp.pr.gov, ecfr.gov, osha.gov, dol.gov, trabajo.pr.gov, poderjudicial.pr, dts.poderjudicial.pr, lexjuris.com, law.justia.com, law.cornell.edu, govinfo.gov, federalregister.gov, web.archive.org). Solo funcionaron el buscador web (WebSearch) y GitHub. Esa limitación condicionó todo el trabajo y sigue vigente al cierre de la sesión, según se comprobó de nuevo el 9 de septiembre de 2026.</w:t>
      </w:r>
    </w:p>
    <w:p>
      <w:pPr>
        <w:spacing w:after="200"/>
        <w:jc w:val="both"/>
      </w:pPr>
      <w:r>
        <w:rPr>
          <w:rFonts w:ascii="Times New Roman" w:hAnsi="Times New Roman" w:cs="Times New Roman" w:eastAsia="Times New Roman"/>
          <w:b w:val="0"/>
          <w:i w:val="0"/>
          <w:sz w:val="24"/>
        </w:rPr>
        <w:t>Los hechos fueron aclarados por el usuario en tres momentos. Primero, que el puesto es de trabajador, que no se trata de botas de seguridad sino de botas regulares, y que el problema es que algunos empleados van en chancletas, lo que no debe permitirse. Segundo, que la opinión va dirigida a la Sra. Rosa Méndez Cabret, Directora de Recursos Humanos, Municipio de Naguabo. Tercero, mediante la especificación de la clase Trabajador (número 2111) del Plan de Clasificación de Puestos del Municipio, aprobada en 2023 por la Alcaldesa Miraidaliz Rosario Pagán al amparo del Artículo 2.047 del Código Municipal.</w:t>
      </w:r>
    </w:p>
    <w:p>
      <w:pPr>
        <w:spacing w:after="120"/>
        <w:jc w:val="left"/>
      </w:pPr>
      <w:r>
        <w:rPr>
          <w:rFonts w:ascii="Times New Roman" w:hAnsi="Times New Roman" w:cs="Times New Roman" w:eastAsia="Times New Roman"/>
          <w:b/>
          <w:i w:val="0"/>
          <w:sz w:val="24"/>
        </w:rPr>
        <w:t>2. Trabajo completado</w:t>
      </w:r>
    </w:p>
    <w:p>
      <w:pPr>
        <w:spacing w:after="200"/>
        <w:jc w:val="both"/>
      </w:pPr>
      <w:r>
        <w:rPr>
          <w:rFonts w:ascii="Times New Roman" w:hAnsi="Times New Roman" w:cs="Times New Roman" w:eastAsia="Times New Roman"/>
          <w:b w:val="0"/>
          <w:i w:val="0"/>
          <w:sz w:val="24"/>
        </w:rPr>
        <w:t>Todo el trabajo se confirmó en la rama claude/prompt-action-2jh7nz del repositorio charliethegold/great_files.</w:t>
      </w:r>
    </w:p>
    <w:tbl>
      <w:tblPr>
        <w:tblStyle w:val="TableGrid"/>
        <w:tblW w:type="auto" w:w="0"/>
        <w:tblLook w:firstColumn="1" w:firstRow="1" w:lastColumn="0" w:lastRow="0" w:noHBand="0" w:noVBand="1" w:val="04A0"/>
      </w:tblPr>
      <w:tblGrid>
        <w:gridCol w:w="3120"/>
        <w:gridCol w:w="3120"/>
        <w:gridCol w:w="3120"/>
      </w:tblGrid>
      <w:tr>
        <w:tc>
          <w:tcPr>
            <w:tcW w:type="dxa" w:w="1440"/>
          </w:tcPr>
          <w:p>
            <w:r/>
            <w:r>
              <w:rPr>
                <w:rFonts w:ascii="Times New Roman" w:hAnsi="Times New Roman" w:cs="Times New Roman" w:eastAsia="Times New Roman"/>
                <w:b/>
                <w:i w:val="0"/>
                <w:sz w:val="22"/>
              </w:rPr>
              <w:t>Fecha</w:t>
            </w:r>
          </w:p>
        </w:tc>
        <w:tc>
          <w:tcPr>
            <w:tcW w:type="dxa" w:w="6624"/>
          </w:tcPr>
          <w:p>
            <w:r/>
            <w:r>
              <w:rPr>
                <w:rFonts w:ascii="Times New Roman" w:hAnsi="Times New Roman" w:cs="Times New Roman" w:eastAsia="Times New Roman"/>
                <w:b/>
                <w:i w:val="0"/>
                <w:sz w:val="22"/>
              </w:rPr>
              <w:t>Trabajo</w:t>
            </w:r>
          </w:p>
        </w:tc>
        <w:tc>
          <w:tcPr>
            <w:tcW w:type="dxa" w:w="1296"/>
          </w:tcPr>
          <w:p>
            <w:r/>
            <w:r>
              <w:rPr>
                <w:rFonts w:ascii="Times New Roman" w:hAnsi="Times New Roman" w:cs="Times New Roman" w:eastAsia="Times New Roman"/>
                <w:b/>
                <w:i w:val="0"/>
                <w:sz w:val="22"/>
              </w:rPr>
              <w:t>Commit</w:t>
            </w:r>
          </w:p>
        </w:tc>
      </w:tr>
      <w:tr>
        <w:tc>
          <w:tcPr>
            <w:tcW w:type="dxa" w:w="1440"/>
          </w:tcPr>
          <w:p>
            <w:r/>
            <w:r>
              <w:rPr>
                <w:rFonts w:ascii="Times New Roman" w:hAnsi="Times New Roman" w:cs="Times New Roman" w:eastAsia="Times New Roman"/>
                <w:b w:val="0"/>
                <w:i w:val="0"/>
                <w:sz w:val="22"/>
              </w:rPr>
              <w:t>8 sep 2026</w:t>
            </w:r>
          </w:p>
        </w:tc>
        <w:tc>
          <w:tcPr>
            <w:tcW w:type="dxa" w:w="6624"/>
          </w:tcPr>
          <w:p>
            <w:r/>
            <w:r>
              <w:rPr>
                <w:rFonts w:ascii="Times New Roman" w:hAnsi="Times New Roman" w:cs="Times New Roman" w:eastAsia="Times New Roman"/>
                <w:b w:val="0"/>
                <w:i w:val="0"/>
                <w:sz w:val="22"/>
              </w:rPr>
              <w:t>Cuatro agentes de localización por WebSearch (federal y OSHA, estatutos de PR, ordenanzas, jurisprudencia). Redacción de investigacion_botas_uniformes_empleados_municipales_PR.md con ocho secciones, tabla de escenarios y lista de puntos sin verificar.</w:t>
            </w:r>
          </w:p>
        </w:tc>
        <w:tc>
          <w:tcPr>
            <w:tcW w:type="dxa" w:w="1296"/>
          </w:tcPr>
          <w:p>
            <w:r/>
            <w:r>
              <w:rPr>
                <w:rFonts w:ascii="Times New Roman" w:hAnsi="Times New Roman" w:cs="Times New Roman" w:eastAsia="Times New Roman"/>
                <w:b w:val="0"/>
                <w:i w:val="0"/>
                <w:sz w:val="22"/>
              </w:rPr>
              <w:t>393eb4f</w:t>
            </w:r>
          </w:p>
        </w:tc>
      </w:tr>
      <w:tr>
        <w:tc>
          <w:tcPr>
            <w:tcW w:type="dxa" w:w="1440"/>
          </w:tcPr>
          <w:p>
            <w:r/>
            <w:r>
              <w:rPr>
                <w:rFonts w:ascii="Times New Roman" w:hAnsi="Times New Roman" w:cs="Times New Roman" w:eastAsia="Times New Roman"/>
                <w:b w:val="0"/>
                <w:i w:val="0"/>
                <w:sz w:val="22"/>
              </w:rPr>
              <w:t>8 sep 2026</w:t>
            </w:r>
          </w:p>
        </w:tc>
        <w:tc>
          <w:tcPr>
            <w:tcW w:type="dxa" w:w="6624"/>
          </w:tcPr>
          <w:p>
            <w:r/>
            <w:r>
              <w:rPr>
                <w:rFonts w:ascii="Times New Roman" w:hAnsi="Times New Roman" w:cs="Times New Roman" w:eastAsia="Times New Roman"/>
                <w:b w:val="0"/>
                <w:i w:val="0"/>
                <w:sz w:val="22"/>
              </w:rPr>
              <w:t>Adenda (sección 8) aplicando la investigación a los hechos aclarados (botas regulares, chancletas).</w:t>
            </w:r>
          </w:p>
        </w:tc>
        <w:tc>
          <w:tcPr>
            <w:tcW w:type="dxa" w:w="1296"/>
          </w:tcPr>
          <w:p>
            <w:r/>
            <w:r>
              <w:rPr>
                <w:rFonts w:ascii="Times New Roman" w:hAnsi="Times New Roman" w:cs="Times New Roman" w:eastAsia="Times New Roman"/>
                <w:b w:val="0"/>
                <w:i w:val="0"/>
                <w:sz w:val="22"/>
              </w:rPr>
              <w:t>d02cf27</w:t>
            </w:r>
          </w:p>
        </w:tc>
      </w:tr>
      <w:tr>
        <w:tc>
          <w:tcPr>
            <w:tcW w:type="dxa" w:w="1440"/>
          </w:tcPr>
          <w:p>
            <w:r/>
            <w:r>
              <w:rPr>
                <w:rFonts w:ascii="Times New Roman" w:hAnsi="Times New Roman" w:cs="Times New Roman" w:eastAsia="Times New Roman"/>
                <w:b w:val="0"/>
                <w:i w:val="0"/>
                <w:sz w:val="22"/>
              </w:rPr>
              <w:t>8 sep 2026</w:t>
            </w:r>
          </w:p>
        </w:tc>
        <w:tc>
          <w:tcPr>
            <w:tcW w:type="dxa" w:w="6624"/>
          </w:tcPr>
          <w:p>
            <w:r/>
            <w:r>
              <w:rPr>
                <w:rFonts w:ascii="Times New Roman" w:hAnsi="Times New Roman" w:cs="Times New Roman" w:eastAsia="Times New Roman"/>
                <w:b w:val="0"/>
                <w:i w:val="0"/>
                <w:sz w:val="22"/>
              </w:rPr>
              <w:t>Opinión legal con el skill opinion-legal, Opinion_Legal_Calzado_Trabajadores_Naguabo.docx, a base del Código Municipal (rev. OGP 21 ago 2026) y el Reglamento de Personal de Carrera de Naguabo 2025 provistos por el usuario. Corrección en la investigación sobre el Art. 3.032 del Código.</w:t>
            </w:r>
          </w:p>
        </w:tc>
        <w:tc>
          <w:tcPr>
            <w:tcW w:type="dxa" w:w="1296"/>
          </w:tcPr>
          <w:p>
            <w:r/>
            <w:r>
              <w:rPr>
                <w:rFonts w:ascii="Times New Roman" w:hAnsi="Times New Roman" w:cs="Times New Roman" w:eastAsia="Times New Roman"/>
                <w:b w:val="0"/>
                <w:i w:val="0"/>
                <w:sz w:val="22"/>
              </w:rPr>
              <w:t>a0a6f9a</w:t>
            </w:r>
          </w:p>
        </w:tc>
      </w:tr>
      <w:tr>
        <w:tc>
          <w:tcPr>
            <w:tcW w:type="dxa" w:w="1440"/>
          </w:tcPr>
          <w:p>
            <w:r/>
            <w:r>
              <w:rPr>
                <w:rFonts w:ascii="Times New Roman" w:hAnsi="Times New Roman" w:cs="Times New Roman" w:eastAsia="Times New Roman"/>
                <w:b w:val="0"/>
                <w:i w:val="0"/>
                <w:sz w:val="22"/>
              </w:rPr>
              <w:t>8 sep 2026</w:t>
            </w:r>
          </w:p>
        </w:tc>
        <w:tc>
          <w:tcPr>
            <w:tcW w:type="dxa" w:w="6624"/>
          </w:tcPr>
          <w:p>
            <w:r/>
            <w:r>
              <w:rPr>
                <w:rFonts w:ascii="Times New Roman" w:hAnsi="Times New Roman" w:cs="Times New Roman" w:eastAsia="Times New Roman"/>
                <w:b w:val="0"/>
                <w:i w:val="0"/>
                <w:sz w:val="22"/>
              </w:rPr>
              <w:t>Incorporación de la especificación de clase Trabajador 2111 a la opinión y a la investigación.</w:t>
            </w:r>
          </w:p>
        </w:tc>
        <w:tc>
          <w:tcPr>
            <w:tcW w:type="dxa" w:w="1296"/>
          </w:tcPr>
          <w:p>
            <w:r/>
            <w:r>
              <w:rPr>
                <w:rFonts w:ascii="Times New Roman" w:hAnsi="Times New Roman" w:cs="Times New Roman" w:eastAsia="Times New Roman"/>
                <w:b w:val="0"/>
                <w:i w:val="0"/>
                <w:sz w:val="22"/>
              </w:rPr>
              <w:t>484e0c9</w:t>
            </w:r>
          </w:p>
        </w:tc>
      </w:tr>
      <w:tr>
        <w:tc>
          <w:tcPr>
            <w:tcW w:type="dxa" w:w="1440"/>
          </w:tcPr>
          <w:p>
            <w:r/>
            <w:r>
              <w:rPr>
                <w:rFonts w:ascii="Times New Roman" w:hAnsi="Times New Roman" w:cs="Times New Roman" w:eastAsia="Times New Roman"/>
                <w:b w:val="0"/>
                <w:i w:val="0"/>
                <w:sz w:val="22"/>
              </w:rPr>
              <w:t>9 sep 2026</w:t>
            </w:r>
          </w:p>
        </w:tc>
        <w:tc>
          <w:tcPr>
            <w:tcW w:type="dxa" w:w="6624"/>
          </w:tcPr>
          <w:p>
            <w:r/>
            <w:r>
              <w:rPr>
                <w:rFonts w:ascii="Times New Roman" w:hAnsi="Times New Roman" w:cs="Times New Roman" w:eastAsia="Times New Roman"/>
                <w:b w:val="0"/>
                <w:i w:val="0"/>
                <w:sz w:val="22"/>
              </w:rPr>
              <w:t>Verificación de la opinión contra quince documentos subidos por el usuario. Incorporación de la Ley 16-1975 (Secciones 2, 3(c), 4, 6, 8(a)). Corrección de transcripciones de 29 CFR 1910.132(h) y de la Hoja Informativa 16. Fecha de la opinión actualizada al 9 de septiembre de 2026. Nueva sección 2.1.5 en la investigación.</w:t>
            </w:r>
          </w:p>
        </w:tc>
        <w:tc>
          <w:tcPr>
            <w:tcW w:type="dxa" w:w="1296"/>
          </w:tcPr>
          <w:p>
            <w:r/>
            <w:r>
              <w:rPr>
                <w:rFonts w:ascii="Times New Roman" w:hAnsi="Times New Roman" w:cs="Times New Roman" w:eastAsia="Times New Roman"/>
                <w:b w:val="0"/>
                <w:i w:val="0"/>
                <w:sz w:val="22"/>
              </w:rPr>
              <w:t>7826869</w:t>
            </w:r>
          </w:p>
        </w:tc>
      </w:tr>
      <w:tr>
        <w:tc>
          <w:tcPr>
            <w:tcW w:type="dxa" w:w="1440"/>
          </w:tcPr>
          <w:p>
            <w:r/>
            <w:r>
              <w:rPr>
                <w:rFonts w:ascii="Times New Roman" w:hAnsi="Times New Roman" w:cs="Times New Roman" w:eastAsia="Times New Roman"/>
                <w:b w:val="0"/>
                <w:i w:val="0"/>
                <w:sz w:val="22"/>
              </w:rPr>
              <w:t>9 sep 2026</w:t>
            </w:r>
          </w:p>
        </w:tc>
        <w:tc>
          <w:tcPr>
            <w:tcW w:type="dxa" w:w="6624"/>
          </w:tcPr>
          <w:p>
            <w:r/>
            <w:r>
              <w:rPr>
                <w:rFonts w:ascii="Times New Roman" w:hAnsi="Times New Roman" w:cs="Times New Roman" w:eastAsia="Times New Roman"/>
                <w:b w:val="0"/>
                <w:i w:val="0"/>
                <w:sz w:val="22"/>
              </w:rPr>
              <w:t>Reducción de la opinión a autoridades verificadas (se eliminaron la página del plan estatal en osha.gov, 29 CFR 531.35, las cartas de OSHA de 28 ago 2003 y 11 may 2009, el historial del Art. 3.032 y la mención del salario mínimo de la Ley 47-2021). El usuario indicó después "no cambies la opinion". Este commit ya estaba aplicado cuando llegó esa instrucción.</w:t>
            </w:r>
          </w:p>
        </w:tc>
        <w:tc>
          <w:tcPr>
            <w:tcW w:type="dxa" w:w="1296"/>
          </w:tcPr>
          <w:p>
            <w:r/>
            <w:r>
              <w:rPr>
                <w:rFonts w:ascii="Times New Roman" w:hAnsi="Times New Roman" w:cs="Times New Roman" w:eastAsia="Times New Roman"/>
                <w:b w:val="0"/>
                <w:i w:val="0"/>
                <w:sz w:val="22"/>
              </w:rPr>
              <w:t>033fa53</w:t>
            </w:r>
          </w:p>
        </w:tc>
      </w:tr>
    </w:tbl>
    <w:p/>
    <w:p>
      <w:pPr>
        <w:spacing w:after="200"/>
        <w:jc w:val="both"/>
      </w:pPr>
      <w:r>
        <w:rPr>
          <w:rFonts w:ascii="Times New Roman" w:hAnsi="Times New Roman" w:cs="Times New Roman" w:eastAsia="Times New Roman"/>
          <w:b w:val="0"/>
          <w:i w:val="0"/>
          <w:sz w:val="24"/>
        </w:rPr>
        <w:t>Documentos provistos por el usuario y absorbidos. Prompt de investigación. Código Municipal, Ley 107-2020, texto consolidado OGP rev. 21 de agosto de 2026 (markdown). Reglamento para la Administración de los Recursos Humanos del Servicio de Carrera del Municipio de Naguabo 2025 (PDF). Especificación de clase Trabajador 2111 (docx). Página oficial de OSHA sobre 29 CFR 1910.136 (pegada en el chat). Ley 16-1975 en dos copias (OGP rev. 9 de octubre de 2024 y edición bilingüe del Departamento del Trabajo). 29 USC 203, 652 y 667 (Cornell LII). Carta de opinión FLSA2004-1NA de 30 de marzo de 2004. Constitución del ELA (OGP rev. 15 de abril de 2024). 29 CFR 531.3 y 1910.132 (eCFR al 4 de septiembre de 2026). Carta de OSHA de 9 de diciembre de 2013. Hoja Informativa 16 (rev. julio 2009). Ley 55-1997. Ley 94-2007. Ley OSH federal, 29 USC 651 et seq. Traducción de PR OSHA de la regla federal de 13 de septiembre de 2005 (70 FR 176). Los tres últimos y las Leyes 55-1997 y 94-2007 no se citaron en la opinión por no aportar al análisis.</w:t>
      </w:r>
    </w:p>
    <w:p>
      <w:pPr>
        <w:spacing w:after="200"/>
        <w:jc w:val="both"/>
      </w:pPr>
      <w:r>
        <w:rPr>
          <w:rFonts w:ascii="Times New Roman" w:hAnsi="Times New Roman" w:cs="Times New Roman" w:eastAsia="Times New Roman"/>
          <w:b w:val="0"/>
          <w:i w:val="0"/>
          <w:sz w:val="24"/>
        </w:rPr>
        <w:t>Herramientas y skills usados. jurisprudencia-pr, opinion-legal (script generate_opinion.py con limpieza de metadatos), handoff. Extracción del PDF con pypdfium2. Generación de docx con python-docx.</w:t>
      </w:r>
    </w:p>
    <w:p>
      <w:pPr>
        <w:spacing w:after="120"/>
        <w:jc w:val="left"/>
      </w:pPr>
      <w:r>
        <w:rPr>
          <w:rFonts w:ascii="Times New Roman" w:hAnsi="Times New Roman" w:cs="Times New Roman" w:eastAsia="Times New Roman"/>
          <w:b/>
          <w:i w:val="0"/>
          <w:sz w:val="24"/>
        </w:rPr>
        <w:t>3. Hallazgos y conclusiones</w:t>
      </w:r>
    </w:p>
    <w:p>
      <w:pPr>
        <w:spacing w:after="120"/>
        <w:ind w:left="432"/>
        <w:jc w:val="both"/>
      </w:pPr>
      <w:r>
        <w:rPr>
          <w:rFonts w:ascii="Times New Roman" w:hAnsi="Times New Roman" w:cs="Times New Roman" w:eastAsia="Times New Roman"/>
          <w:b w:val="0"/>
          <w:i w:val="0"/>
          <w:sz w:val="24"/>
        </w:rPr>
        <w:t>- Ley 16-1975, Sección 6(b), 29 LPRA sec. 361e. "Cada patrono deberá proveer y asegurar el uso de aparatos de seguridad, salvaguardias y el equipo de protección personal, según sea prescrito o requerido por el Secretario, o que sea razonablemente necesario, sin costo alguno para cualquier empleado." No contiene la excepción federal de 29 CFR 1910.132(h)(2) para calzado corriente con puntera. La Sección 3(c) incluye expresamente a los municipios como patronos. La Sección 8(a) hace discrecional la adopción de normas federales. El índice de normas de PR OSHA lista la regla federal de pago de 2007 (72 FR 220) como "NO ADOPTADA" (archivo no abierto). Conclusión de la opinión. Si la evaluación de riesgos exige calzado protector, el Municipio debe proveerlo sin costo, incluida la bota corriente con puntera. La excepción federal no es invocable por un patrono municipal de Puerto Rico.</w:t>
      </w:r>
    </w:p>
    <w:p>
      <w:pPr>
        <w:spacing w:after="120"/>
        <w:ind w:left="432"/>
        <w:jc w:val="both"/>
      </w:pPr>
      <w:r>
        <w:rPr>
          <w:rFonts w:ascii="Times New Roman" w:hAnsi="Times New Roman" w:cs="Times New Roman" w:eastAsia="Times New Roman"/>
          <w:b w:val="0"/>
          <w:i w:val="0"/>
          <w:sz w:val="24"/>
        </w:rPr>
        <w:t>- La bota regular sin puntera es ropa cotidiana bajo 29 CFR 1910.132(h)(4)(ii) ("normal work boots") y no es equipo de protección bajo la Sección 6(b). El Municipio puede exigirla sin pagarla y prohibir chancletas.</w:t>
      </w:r>
    </w:p>
    <w:p>
      <w:pPr>
        <w:spacing w:after="120"/>
        <w:ind w:left="432"/>
        <w:jc w:val="both"/>
      </w:pPr>
      <w:r>
        <w:rPr>
          <w:rFonts w:ascii="Times New Roman" w:hAnsi="Times New Roman" w:cs="Times New Roman" w:eastAsia="Times New Roman"/>
          <w:b w:val="0"/>
          <w:i w:val="0"/>
          <w:sz w:val="24"/>
        </w:rPr>
        <w:t>- La especificación de clase 2111 asigna al trabajador escombros, lavado a presión, zanjas y alcantarillas, corte de árboles, brigada de asfalto, neumáticos y mudanza de equipos, y exige "Conocimiento de los riesgos ocupacionales" y "trabajo de campo expuesto a riesgos moderado". La opinión concluye que es muy probable que la evaluación de riesgos de 29 CFR 1910.132(d) exija calzado protector, de modo que la regla de calzado cerrado es el mínimo inmediato, no el cumplimiento final.</w:t>
      </w:r>
    </w:p>
    <w:p>
      <w:pPr>
        <w:spacing w:after="120"/>
        <w:ind w:left="432"/>
        <w:jc w:val="both"/>
      </w:pPr>
      <w:r>
        <w:rPr>
          <w:rFonts w:ascii="Times New Roman" w:hAnsi="Times New Roman" w:cs="Times New Roman" w:eastAsia="Times New Roman"/>
          <w:b w:val="0"/>
          <w:i w:val="0"/>
          <w:sz w:val="24"/>
        </w:rPr>
        <w:t>- Escala 1, sueldo mínimo 1,289 dólares mensuales, equivale a unos 7.44 dólares por hora (1,289 x 12 / 2,080), 19 centavos sobre el mínimo federal de 7.25, margen semanal de unos 7.46 dólares en 40 horas. Exigir al trabajador comprar calzado protector violaría la FLSA en la semana de compra. La Sección 6(b) ya obliga al Municipio a pagarlo, por lo que la FLSA opera como segunda barrera.</w:t>
      </w:r>
    </w:p>
    <w:p>
      <w:pPr>
        <w:spacing w:after="120"/>
        <w:ind w:left="432"/>
        <w:jc w:val="both"/>
      </w:pPr>
      <w:r>
        <w:rPr>
          <w:rFonts w:ascii="Times New Roman" w:hAnsi="Times New Roman" w:cs="Times New Roman" w:eastAsia="Times New Roman"/>
          <w:b w:val="0"/>
          <w:i w:val="0"/>
          <w:sz w:val="24"/>
        </w:rPr>
        <w:t>- La regla debe diseñarse como tipo general de calzado cerrado de libre elección, sin marca, color, modelo ni identificación, para no constituir uniforme bajo la FLSA (carta FLSA2004-1NA) ni bajo la disposición de uniformes de la Ley 180-1998, 29 LPRA sec. 250e.</w:t>
      </w:r>
    </w:p>
    <w:p>
      <w:pPr>
        <w:spacing w:after="120"/>
        <w:ind w:left="432"/>
        <w:jc w:val="both"/>
      </w:pPr>
      <w:r>
        <w:rPr>
          <w:rFonts w:ascii="Times New Roman" w:hAnsi="Times New Roman" w:cs="Times New Roman" w:eastAsia="Times New Roman"/>
          <w:b w:val="0"/>
          <w:i w:val="0"/>
          <w:sz w:val="24"/>
        </w:rPr>
        <w:t>- Las fuentes localizadas por buscador indican que la Ley 47-2021 derogó los Artículos 2 y 3 de la Ley 180-1998, donde estaba la exclusión de los gobiernos municipales. No se confirmó contra OGP. La opinión no descansa en esa exclusión.</w:t>
      </w:r>
    </w:p>
    <w:p>
      <w:pPr>
        <w:spacing w:after="120"/>
        <w:ind w:left="432"/>
        <w:jc w:val="both"/>
      </w:pPr>
      <w:r>
        <w:rPr>
          <w:rFonts w:ascii="Times New Roman" w:hAnsi="Times New Roman" w:cs="Times New Roman" w:eastAsia="Times New Roman"/>
          <w:b w:val="0"/>
          <w:i w:val="0"/>
          <w:sz w:val="24"/>
        </w:rPr>
        <w:t>- La regla debe adoptarse por escrito (orden administrativa de la Alcaldesa o norma interna) porque la Sección 9.3 del Reglamento de Naguabo exige que las reglas de conducta se establezcan por reglamentación interna, notificarse con acuse de recibo, conceder plazo de transición y extenderse por su texto a los transitorios, ya que el Artículo 4 del Reglamento solo cubre el servicio de carrera. Disciplina progresiva conforme al Artículo 2.053 del Código y la Sección 9.3. Enviar al empleado a casa sin paga sin ese procedimiento equivale a suspensión de empleo y sueldo irregular. La suspensión sumaria con sueldo de la Sección 9.3 es la vía si el empleado no puede permanecer en el área.</w:t>
      </w:r>
    </w:p>
    <w:p>
      <w:pPr>
        <w:spacing w:after="120"/>
        <w:ind w:left="432"/>
        <w:jc w:val="both"/>
      </w:pPr>
      <w:r>
        <w:rPr>
          <w:rFonts w:ascii="Times New Roman" w:hAnsi="Times New Roman" w:cs="Times New Roman" w:eastAsia="Times New Roman"/>
          <w:b w:val="0"/>
          <w:i w:val="0"/>
          <w:sz w:val="24"/>
        </w:rPr>
        <w:t>- Subsidio para calzado de trabajo es opcional y cabe bajo el Artículo 2.056(q)(1)(viii) del Código, por ordenanza o enmienda al plan de retribución con partida presupuestaria. Sin base legal, riesgo de señalamiento de la Oficina del Contralor. Modelo localizado, no abierto. Hormigueros OM-08-2025-2026 (obvención de cien dólares para botas de trabajo de seguridad a empleados de campo).</w:t>
      </w:r>
    </w:p>
    <w:p>
      <w:pPr>
        <w:spacing w:after="120"/>
        <w:ind w:left="432"/>
        <w:jc w:val="both"/>
      </w:pPr>
      <w:r>
        <w:rPr>
          <w:rFonts w:ascii="Times New Roman" w:hAnsi="Times New Roman" w:cs="Times New Roman" w:eastAsia="Times New Roman"/>
          <w:b w:val="0"/>
          <w:i w:val="0"/>
          <w:sz w:val="24"/>
        </w:rPr>
        <w:t>- El texto consolidado del Código Municipal (rev. 21 ago 2026) del Artículo 3.032 no contiene la frase "libre de costo" que Justia atribuía a la versión de 2020. No se determinó si fue eliminada por enmienda.</w:t>
      </w:r>
    </w:p>
    <w:p>
      <w:pPr>
        <w:spacing w:after="120"/>
        <w:ind w:left="432"/>
        <w:jc w:val="both"/>
      </w:pPr>
      <w:r>
        <w:rPr>
          <w:rFonts w:ascii="Times New Roman" w:hAnsi="Times New Roman" w:cs="Times New Roman" w:eastAsia="Times New Roman"/>
          <w:b w:val="0"/>
          <w:i w:val="0"/>
          <w:sz w:val="24"/>
        </w:rPr>
        <w:t>- No se localizó jurisprudencia de ninguno de los dos foros que resuelva la obligación de sufragar botas o uniformes. La opinión no cita casos. Se aplicó la fórmula "No puedo verificar una autoridad que sustente esta proposición".</w:t>
      </w:r>
    </w:p>
    <w:p>
      <w:pPr>
        <w:spacing w:after="120"/>
        <w:ind w:left="432"/>
        <w:jc w:val="both"/>
      </w:pPr>
      <w:r>
        <w:rPr>
          <w:rFonts w:ascii="Times New Roman" w:hAnsi="Times New Roman" w:cs="Times New Roman" w:eastAsia="Times New Roman"/>
          <w:b w:val="0"/>
          <w:i w:val="0"/>
          <w:sz w:val="24"/>
        </w:rPr>
        <w:t>- Corrección de transcripciones al verificar. En 29 CFR 1910.132(h), la oración "The employer shall not require an employee to provide or pay for his or her own PPE" está en (h)(6), no en (h)(7), y la regla sobre otras normas es una nota al inciso (h). La Hoja Informativa 16 vigente no contiene la oración sobre "cash or merchandise shortages" que el buscador presentó.</w:t>
      </w:r>
    </w:p>
    <w:p>
      <w:pPr>
        <w:spacing w:after="120"/>
        <w:jc w:val="left"/>
      </w:pPr>
      <w:r>
        <w:rPr>
          <w:rFonts w:ascii="Times New Roman" w:hAnsi="Times New Roman" w:cs="Times New Roman" w:eastAsia="Times New Roman"/>
          <w:b/>
          <w:i w:val="0"/>
          <w:sz w:val="24"/>
        </w:rPr>
        <w:t>4. Pendientes</w:t>
      </w:r>
    </w:p>
    <w:p>
      <w:pPr>
        <w:spacing w:after="120"/>
        <w:ind w:left="432"/>
        <w:jc w:val="both"/>
      </w:pPr>
      <w:r>
        <w:rPr>
          <w:rFonts w:ascii="Times New Roman" w:hAnsi="Times New Roman" w:cs="Times New Roman" w:eastAsia="Times New Roman"/>
          <w:b w:val="0"/>
          <w:i w:val="0"/>
          <w:sz w:val="24"/>
        </w:rPr>
        <w:t>- Decisión del usuario sobre la versión de la opinión. La versión vigente en la rama es el commit 033fa53 (reducida a autoridades verificadas, 9,009 palabras, tres marcas sustantivas). La versión anterior es el commit 7826869 (9,297 palabras, siete marcas). El usuario indicó "no cambies la opinion" después de aplicado el commit 033fa53. Restaurar la anterior requiere un solo comando de git si así se decide.</w:t>
      </w:r>
    </w:p>
    <w:p>
      <w:pPr>
        <w:spacing w:after="120"/>
        <w:ind w:left="432"/>
        <w:jc w:val="both"/>
      </w:pPr>
      <w:r>
        <w:rPr>
          <w:rFonts w:ascii="Times New Roman" w:hAnsi="Times New Roman" w:cs="Times New Roman" w:eastAsia="Times New Roman"/>
          <w:b w:val="0"/>
          <w:i w:val="0"/>
          <w:sz w:val="24"/>
        </w:rPr>
        <w:t>- Marcas [TEXTO POR VERIFICAR] y [CITA POR VERIFICAR] que subsisten en la opinión vigente. Disposición de uniformes de la Ley 180-1998, 29 LPRA sec. 250e (texto). Derogación de los Artículos 2 y 3 de la Ley 180-1998 por la Ley 47-2021 y subsistencia de la exclusión municipal (cita). Sección 5 de la Ley 17-1931, 29 LPRA sec. 175 (texto). Fuentes por abrir. bvirtualogp.pr.gov, PDF de la Ley 180-1998, PDF de la Ley 47-2021 y PDF de la Ley 17-1931 (rev. 15 de abril de 2024 según el título localizado).</w:t>
      </w:r>
    </w:p>
    <w:p>
      <w:pPr>
        <w:spacing w:after="120"/>
        <w:ind w:left="432"/>
        <w:jc w:val="both"/>
      </w:pPr>
      <w:r>
        <w:rPr>
          <w:rFonts w:ascii="Times New Roman" w:hAnsi="Times New Roman" w:cs="Times New Roman" w:eastAsia="Times New Roman"/>
          <w:b w:val="0"/>
          <w:i w:val="0"/>
          <w:sz w:val="24"/>
        </w:rPr>
        <w:t>- Correo electrónico de la destinataria. Quedó como "[correo electrónico por confirmar]" en la línea de envío.</w:t>
      </w:r>
    </w:p>
    <w:p>
      <w:pPr>
        <w:spacing w:after="120"/>
        <w:ind w:left="432"/>
        <w:jc w:val="both"/>
      </w:pPr>
      <w:r>
        <w:rPr>
          <w:rFonts w:ascii="Times New Roman" w:hAnsi="Times New Roman" w:cs="Times New Roman" w:eastAsia="Times New Roman"/>
          <w:b w:val="0"/>
          <w:i w:val="0"/>
          <w:sz w:val="24"/>
        </w:rPr>
        <w:t>- Solicitud del usuario de buscar en la carpeta local /Users/carsantini/Downloads/Naguabo files/uniformes y botas/Otras fuentes. No accesible desde el contenedor remoto. El usuario subió quince documentos en su lugar. No consta si la carpeta contenía otros.</w:t>
      </w:r>
    </w:p>
    <w:p>
      <w:pPr>
        <w:spacing w:after="120"/>
        <w:ind w:left="432"/>
        <w:jc w:val="both"/>
      </w:pPr>
      <w:r>
        <w:rPr>
          <w:rFonts w:ascii="Times New Roman" w:hAnsi="Times New Roman" w:cs="Times New Roman" w:eastAsia="Times New Roman"/>
          <w:b w:val="0"/>
          <w:i w:val="0"/>
          <w:sz w:val="24"/>
        </w:rPr>
        <w:t>- Puntos de la investigación sin cerrar (sección 6 del archivo .md). Contenido del archivo PPE_(72-220)_(NO_ADOPTADA).pdf de PR OSHA. Ley 45-1998 y régimen de asociaciones bona fide de empleados municipales. Número de artículo del Código sobre asociaciones y descuento de cuotas. Copias certificadas de las ordenanzas de Hormigueros, Vega Baja y Lares. Búsqueda dtSearch en ambos foros y apertura de los candidatos listados en el punto 8 de esa sección.</w:t>
      </w:r>
    </w:p>
    <w:p>
      <w:pPr>
        <w:spacing w:after="120"/>
        <w:ind w:left="432"/>
        <w:jc w:val="both"/>
      </w:pPr>
      <w:r>
        <w:rPr>
          <w:rFonts w:ascii="Times New Roman" w:hAnsi="Times New Roman" w:cs="Times New Roman" w:eastAsia="Times New Roman"/>
          <w:b w:val="0"/>
          <w:i w:val="0"/>
          <w:sz w:val="24"/>
        </w:rPr>
        <w:t>- Auditoría feynman-audit-skill sobre la opinión, ofrecida conforme al skill opinion-legal, no ejecutada por falta de acceso a fuentes.</w:t>
      </w:r>
    </w:p>
    <w:p>
      <w:pPr>
        <w:spacing w:after="120"/>
        <w:jc w:val="left"/>
      </w:pPr>
      <w:r>
        <w:rPr>
          <w:rFonts w:ascii="Times New Roman" w:hAnsi="Times New Roman" w:cs="Times New Roman" w:eastAsia="Times New Roman"/>
          <w:b/>
          <w:i w:val="0"/>
          <w:sz w:val="24"/>
        </w:rPr>
        <w:t>5. Próximos pasos</w:t>
      </w:r>
    </w:p>
    <w:p>
      <w:pPr>
        <w:spacing w:after="120"/>
        <w:ind w:left="432"/>
        <w:jc w:val="both"/>
      </w:pPr>
      <w:r>
        <w:rPr>
          <w:rFonts w:ascii="Times New Roman" w:hAnsi="Times New Roman" w:cs="Times New Roman" w:eastAsia="Times New Roman"/>
          <w:b w:val="0"/>
          <w:i w:val="0"/>
          <w:sz w:val="24"/>
        </w:rPr>
        <w:t>- Confirmar con el usuario qué versión de la opinión se conserva (033fa53 o 7826869).</w:t>
      </w:r>
    </w:p>
    <w:p>
      <w:pPr>
        <w:spacing w:after="120"/>
        <w:ind w:left="432"/>
        <w:jc w:val="both"/>
      </w:pPr>
      <w:r>
        <w:rPr>
          <w:rFonts w:ascii="Times New Roman" w:hAnsi="Times New Roman" w:cs="Times New Roman" w:eastAsia="Times New Roman"/>
          <w:b w:val="0"/>
          <w:i w:val="0"/>
          <w:sz w:val="24"/>
        </w:rPr>
        <w:t>- Obtener y cotejar los textos de OGP de la Ley 180-1998, la Ley 47-2021 y la Ley 17-1931, y retirar las tres marcas restantes. Puede hacerse subiendo los PDF al chat, como se hizo con los demás, o en una sesión con acceso de red.</w:t>
      </w:r>
    </w:p>
    <w:p>
      <w:pPr>
        <w:spacing w:after="120"/>
        <w:ind w:left="432"/>
        <w:jc w:val="both"/>
      </w:pPr>
      <w:r>
        <w:rPr>
          <w:rFonts w:ascii="Times New Roman" w:hAnsi="Times New Roman" w:cs="Times New Roman" w:eastAsia="Times New Roman"/>
          <w:b w:val="0"/>
          <w:i w:val="0"/>
          <w:sz w:val="24"/>
        </w:rPr>
        <w:t>- Completar el correo de la destinataria y distribuir la opinión.</w:t>
      </w:r>
    </w:p>
    <w:p>
      <w:pPr>
        <w:spacing w:after="120"/>
        <w:ind w:left="432"/>
        <w:jc w:val="both"/>
      </w:pPr>
      <w:r>
        <w:rPr>
          <w:rFonts w:ascii="Times New Roman" w:hAnsi="Times New Roman" w:cs="Times New Roman" w:eastAsia="Times New Roman"/>
          <w:b w:val="0"/>
          <w:i w:val="0"/>
          <w:sz w:val="24"/>
        </w:rPr>
        <w:t>- Trabajo ofrecido y no encargado. Borrador de la orden administrativa o norma interna de vestimenta y seguridad para el personal de campo, y hoja de evaluación de riesgos por tarea para la clase Trabajador conforme a 29 CFR 1910.132(d)(2).</w:t>
      </w:r>
    </w:p>
    <w:p>
      <w:pPr>
        <w:spacing w:after="120"/>
        <w:jc w:val="left"/>
      </w:pPr>
      <w:r>
        <w:rPr>
          <w:rFonts w:ascii="Times New Roman" w:hAnsi="Times New Roman" w:cs="Times New Roman" w:eastAsia="Times New Roman"/>
          <w:b/>
          <w:i w:val="0"/>
          <w:sz w:val="24"/>
        </w:rPr>
        <w:t>6. Fechas y términos</w:t>
      </w:r>
    </w:p>
    <w:tbl>
      <w:tblPr>
        <w:tblStyle w:val="TableGrid"/>
        <w:tblW w:type="auto" w:w="0"/>
        <w:tblLook w:firstColumn="1" w:firstRow="1" w:lastColumn="0" w:lastRow="0" w:noHBand="0" w:noVBand="1" w:val="04A0"/>
      </w:tblPr>
      <w:tblGrid>
        <w:gridCol w:w="4680"/>
        <w:gridCol w:w="4680"/>
      </w:tblGrid>
      <w:tr>
        <w:tc>
          <w:tcPr>
            <w:tcW w:type="dxa" w:w="1728"/>
          </w:tcPr>
          <w:p>
            <w:r/>
            <w:r>
              <w:rPr>
                <w:rFonts w:ascii="Times New Roman" w:hAnsi="Times New Roman" w:cs="Times New Roman" w:eastAsia="Times New Roman"/>
                <w:b/>
                <w:i w:val="0"/>
                <w:sz w:val="22"/>
              </w:rPr>
              <w:t>Fecha</w:t>
            </w:r>
          </w:p>
        </w:tc>
        <w:tc>
          <w:tcPr>
            <w:tcW w:type="dxa" w:w="7632"/>
          </w:tcPr>
          <w:p>
            <w:r/>
            <w:r>
              <w:rPr>
                <w:rFonts w:ascii="Times New Roman" w:hAnsi="Times New Roman" w:cs="Times New Roman" w:eastAsia="Times New Roman"/>
                <w:b/>
                <w:i w:val="0"/>
                <w:sz w:val="22"/>
              </w:rPr>
              <w:t>Evento</w:t>
            </w:r>
          </w:p>
        </w:tc>
      </w:tr>
      <w:tr>
        <w:tc>
          <w:tcPr>
            <w:tcW w:type="dxa" w:w="1728"/>
          </w:tcPr>
          <w:p>
            <w:r/>
            <w:r>
              <w:rPr>
                <w:rFonts w:ascii="Times New Roman" w:hAnsi="Times New Roman" w:cs="Times New Roman" w:eastAsia="Times New Roman"/>
                <w:b w:val="0"/>
                <w:i w:val="0"/>
                <w:sz w:val="22"/>
              </w:rPr>
              <w:t>8 sep 2026</w:t>
            </w:r>
          </w:p>
        </w:tc>
        <w:tc>
          <w:tcPr>
            <w:tcW w:type="dxa" w:w="7632"/>
          </w:tcPr>
          <w:p>
            <w:r/>
            <w:r>
              <w:rPr>
                <w:rFonts w:ascii="Times New Roman" w:hAnsi="Times New Roman" w:cs="Times New Roman" w:eastAsia="Times New Roman"/>
                <w:b w:val="0"/>
                <w:i w:val="0"/>
                <w:sz w:val="22"/>
              </w:rPr>
              <w:t>Inicio del asunto. Investigación y primera opinión.</w:t>
            </w:r>
          </w:p>
        </w:tc>
      </w:tr>
      <w:tr>
        <w:tc>
          <w:tcPr>
            <w:tcW w:type="dxa" w:w="1728"/>
          </w:tcPr>
          <w:p>
            <w:r/>
            <w:r>
              <w:rPr>
                <w:rFonts w:ascii="Times New Roman" w:hAnsi="Times New Roman" w:cs="Times New Roman" w:eastAsia="Times New Roman"/>
                <w:b w:val="0"/>
                <w:i w:val="0"/>
                <w:sz w:val="22"/>
              </w:rPr>
              <w:t>9 sep 2026</w:t>
            </w:r>
          </w:p>
        </w:tc>
        <w:tc>
          <w:tcPr>
            <w:tcW w:type="dxa" w:w="7632"/>
          </w:tcPr>
          <w:p>
            <w:r/>
            <w:r>
              <w:rPr>
                <w:rFonts w:ascii="Times New Roman" w:hAnsi="Times New Roman" w:cs="Times New Roman" w:eastAsia="Times New Roman"/>
                <w:b w:val="0"/>
                <w:i w:val="0"/>
                <w:sz w:val="22"/>
              </w:rPr>
              <w:t>Fecha de la opinión vigente. Verificación contra documentos subidos. Reducción a autoridades verificadas. Este handoff.</w:t>
            </w:r>
          </w:p>
        </w:tc>
      </w:tr>
      <w:tr>
        <w:tc>
          <w:tcPr>
            <w:tcW w:type="dxa" w:w="1728"/>
          </w:tcPr>
          <w:p>
            <w:r/>
            <w:r>
              <w:rPr>
                <w:rFonts w:ascii="Times New Roman" w:hAnsi="Times New Roman" w:cs="Times New Roman" w:eastAsia="Times New Roman"/>
                <w:b w:val="0"/>
                <w:i w:val="0"/>
                <w:sz w:val="22"/>
              </w:rPr>
              <w:t>2023</w:t>
            </w:r>
          </w:p>
        </w:tc>
        <w:tc>
          <w:tcPr>
            <w:tcW w:type="dxa" w:w="7632"/>
          </w:tcPr>
          <w:p>
            <w:r/>
            <w:r>
              <w:rPr>
                <w:rFonts w:ascii="Times New Roman" w:hAnsi="Times New Roman" w:cs="Times New Roman" w:eastAsia="Times New Roman"/>
                <w:b w:val="0"/>
                <w:i w:val="0"/>
                <w:sz w:val="22"/>
              </w:rPr>
              <w:t>Aprobación de la especificación de clase Trabajador 2111 (día y mes en blanco en el documento).</w:t>
            </w:r>
          </w:p>
        </w:tc>
      </w:tr>
      <w:tr>
        <w:tc>
          <w:tcPr>
            <w:tcW w:type="dxa" w:w="1728"/>
          </w:tcPr>
          <w:p>
            <w:r/>
            <w:r>
              <w:rPr>
                <w:rFonts w:ascii="Times New Roman" w:hAnsi="Times New Roman" w:cs="Times New Roman" w:eastAsia="Times New Roman"/>
                <w:b w:val="0"/>
                <w:i w:val="0"/>
                <w:sz w:val="22"/>
              </w:rPr>
              <w:t>2025</w:t>
            </w:r>
          </w:p>
        </w:tc>
        <w:tc>
          <w:tcPr>
            <w:tcW w:type="dxa" w:w="7632"/>
          </w:tcPr>
          <w:p>
            <w:r/>
            <w:r>
              <w:rPr>
                <w:rFonts w:ascii="Times New Roman" w:hAnsi="Times New Roman" w:cs="Times New Roman" w:eastAsia="Times New Roman"/>
                <w:b w:val="0"/>
                <w:i w:val="0"/>
                <w:sz w:val="22"/>
              </w:rPr>
              <w:t>Reglamento de Personal de Carrera de Naguabo. Vigencia condicionada a aprobación de la Legislatura Municipal y radicación en el Departamento de Estado y la Biblioteca Legislativa (Art. 21).</w:t>
            </w:r>
          </w:p>
        </w:tc>
      </w:tr>
      <w:tr>
        <w:tc>
          <w:tcPr>
            <w:tcW w:type="dxa" w:w="1728"/>
          </w:tcPr>
          <w:p>
            <w:r/>
            <w:r>
              <w:rPr>
                <w:rFonts w:ascii="Times New Roman" w:hAnsi="Times New Roman" w:cs="Times New Roman" w:eastAsia="Times New Roman"/>
                <w:b w:val="0"/>
                <w:i w:val="0"/>
                <w:sz w:val="22"/>
              </w:rPr>
              <w:t>21 ago 2026</w:t>
            </w:r>
          </w:p>
        </w:tc>
        <w:tc>
          <w:tcPr>
            <w:tcW w:type="dxa" w:w="7632"/>
          </w:tcPr>
          <w:p>
            <w:r/>
            <w:r>
              <w:rPr>
                <w:rFonts w:ascii="Times New Roman" w:hAnsi="Times New Roman" w:cs="Times New Roman" w:eastAsia="Times New Roman"/>
                <w:b w:val="0"/>
                <w:i w:val="0"/>
                <w:sz w:val="22"/>
              </w:rPr>
              <w:t>Revisión OGP del Código Municipal usada.</w:t>
            </w:r>
          </w:p>
        </w:tc>
      </w:tr>
      <w:tr>
        <w:tc>
          <w:tcPr>
            <w:tcW w:type="dxa" w:w="1728"/>
          </w:tcPr>
          <w:p>
            <w:r/>
            <w:r>
              <w:rPr>
                <w:rFonts w:ascii="Times New Roman" w:hAnsi="Times New Roman" w:cs="Times New Roman" w:eastAsia="Times New Roman"/>
                <w:b w:val="0"/>
                <w:i w:val="0"/>
                <w:sz w:val="22"/>
              </w:rPr>
              <w:t>9 oct 2024</w:t>
            </w:r>
          </w:p>
        </w:tc>
        <w:tc>
          <w:tcPr>
            <w:tcW w:type="dxa" w:w="7632"/>
          </w:tcPr>
          <w:p>
            <w:r/>
            <w:r>
              <w:rPr>
                <w:rFonts w:ascii="Times New Roman" w:hAnsi="Times New Roman" w:cs="Times New Roman" w:eastAsia="Times New Roman"/>
                <w:b w:val="0"/>
                <w:i w:val="0"/>
                <w:sz w:val="22"/>
              </w:rPr>
              <w:t>Revisión OGP de la Ley 16-1975 usada.</w:t>
            </w:r>
          </w:p>
        </w:tc>
      </w:tr>
      <w:tr>
        <w:tc>
          <w:tcPr>
            <w:tcW w:type="dxa" w:w="1728"/>
          </w:tcPr>
          <w:p>
            <w:r/>
            <w:r>
              <w:rPr>
                <w:rFonts w:ascii="Times New Roman" w:hAnsi="Times New Roman" w:cs="Times New Roman" w:eastAsia="Times New Roman"/>
                <w:b w:val="0"/>
                <w:i w:val="0"/>
                <w:sz w:val="22"/>
              </w:rPr>
              <w:t>15 abr 2024</w:t>
            </w:r>
          </w:p>
        </w:tc>
        <w:tc>
          <w:tcPr>
            <w:tcW w:type="dxa" w:w="7632"/>
          </w:tcPr>
          <w:p>
            <w:r/>
            <w:r>
              <w:rPr>
                <w:rFonts w:ascii="Times New Roman" w:hAnsi="Times New Roman" w:cs="Times New Roman" w:eastAsia="Times New Roman"/>
                <w:b w:val="0"/>
                <w:i w:val="0"/>
                <w:sz w:val="22"/>
              </w:rPr>
              <w:t>Revisión OGP de la Constitución usada.</w:t>
            </w:r>
          </w:p>
        </w:tc>
      </w:tr>
      <w:tr>
        <w:tc>
          <w:tcPr>
            <w:tcW w:type="dxa" w:w="1728"/>
          </w:tcPr>
          <w:p>
            <w:r/>
            <w:r>
              <w:rPr>
                <w:rFonts w:ascii="Times New Roman" w:hAnsi="Times New Roman" w:cs="Times New Roman" w:eastAsia="Times New Roman"/>
                <w:b w:val="0"/>
                <w:i w:val="0"/>
                <w:sz w:val="22"/>
              </w:rPr>
              <w:t>4 sep 2026</w:t>
            </w:r>
          </w:p>
        </w:tc>
        <w:tc>
          <w:tcPr>
            <w:tcW w:type="dxa" w:w="7632"/>
          </w:tcPr>
          <w:p>
            <w:r/>
            <w:r>
              <w:rPr>
                <w:rFonts w:ascii="Times New Roman" w:hAnsi="Times New Roman" w:cs="Times New Roman" w:eastAsia="Times New Roman"/>
                <w:b w:val="0"/>
                <w:i w:val="0"/>
                <w:sz w:val="22"/>
              </w:rPr>
              <w:t>Fecha de actualización del eCFR en las copias de 29 CFR 531.3 y 1910.132.</w:t>
            </w:r>
          </w:p>
        </w:tc>
      </w:tr>
    </w:tbl>
    <w:p/>
    <w:p>
      <w:pPr>
        <w:spacing w:after="200"/>
        <w:jc w:val="both"/>
      </w:pPr>
      <w:r>
        <w:rPr>
          <w:rFonts w:ascii="Times New Roman" w:hAnsi="Times New Roman" w:cs="Times New Roman" w:eastAsia="Times New Roman"/>
          <w:b w:val="0"/>
          <w:i w:val="0"/>
          <w:sz w:val="24"/>
        </w:rPr>
        <w:t>No se discutieron vencimientos de radicación, señalamientos ni reuniones.</w:t>
      </w:r>
    </w:p>
    <w:p>
      <w:pPr>
        <w:spacing w:after="120"/>
        <w:jc w:val="left"/>
      </w:pPr>
      <w:r>
        <w:rPr>
          <w:rFonts w:ascii="Times New Roman" w:hAnsi="Times New Roman" w:cs="Times New Roman" w:eastAsia="Times New Roman"/>
          <w:b/>
          <w:i w:val="0"/>
          <w:sz w:val="24"/>
        </w:rPr>
        <w:t>7. Documentos y archivos</w:t>
      </w:r>
    </w:p>
    <w:tbl>
      <w:tblPr>
        <w:tblStyle w:val="TableGrid"/>
        <w:tblW w:type="auto" w:w="0"/>
        <w:tblLook w:firstColumn="1" w:firstRow="1" w:lastColumn="0" w:lastRow="0" w:noHBand="0" w:noVBand="1" w:val="04A0"/>
      </w:tblPr>
      <w:tblGrid>
        <w:gridCol w:w="3120"/>
        <w:gridCol w:w="3120"/>
        <w:gridCol w:w="3120"/>
      </w:tblGrid>
      <w:tr>
        <w:tc>
          <w:tcPr>
            <w:tcW w:type="dxa" w:w="3456"/>
          </w:tcPr>
          <w:p>
            <w:r/>
            <w:r>
              <w:rPr>
                <w:rFonts w:ascii="Times New Roman" w:hAnsi="Times New Roman" w:cs="Times New Roman" w:eastAsia="Times New Roman"/>
                <w:b/>
                <w:i w:val="0"/>
                <w:sz w:val="22"/>
              </w:rPr>
              <w:t>Archivo</w:t>
            </w:r>
          </w:p>
        </w:tc>
        <w:tc>
          <w:tcPr>
            <w:tcW w:type="dxa" w:w="3312"/>
          </w:tcPr>
          <w:p>
            <w:r/>
            <w:r>
              <w:rPr>
                <w:rFonts w:ascii="Times New Roman" w:hAnsi="Times New Roman" w:cs="Times New Roman" w:eastAsia="Times New Roman"/>
                <w:b/>
                <w:i w:val="0"/>
                <w:sz w:val="22"/>
              </w:rPr>
              <w:t>Ubicación</w:t>
            </w:r>
          </w:p>
        </w:tc>
        <w:tc>
          <w:tcPr>
            <w:tcW w:type="dxa" w:w="2592"/>
          </w:tcPr>
          <w:p>
            <w:r/>
            <w:r>
              <w:rPr>
                <w:rFonts w:ascii="Times New Roman" w:hAnsi="Times New Roman" w:cs="Times New Roman" w:eastAsia="Times New Roman"/>
                <w:b/>
                <w:i w:val="0"/>
                <w:sz w:val="22"/>
              </w:rPr>
              <w:t>Estado</w:t>
            </w:r>
          </w:p>
        </w:tc>
      </w:tr>
      <w:tr>
        <w:tc>
          <w:tcPr>
            <w:tcW w:type="dxa" w:w="3456"/>
          </w:tcPr>
          <w:p>
            <w:r/>
            <w:r>
              <w:rPr>
                <w:rFonts w:ascii="Times New Roman" w:hAnsi="Times New Roman" w:cs="Times New Roman" w:eastAsia="Times New Roman"/>
                <w:b w:val="0"/>
                <w:i w:val="0"/>
                <w:sz w:val="22"/>
              </w:rPr>
              <w:t>Opinion_Legal_Calzado_Trabajadores_Naguabo.docx</w:t>
            </w:r>
          </w:p>
        </w:tc>
        <w:tc>
          <w:tcPr>
            <w:tcW w:type="dxa" w:w="3312"/>
          </w:tcPr>
          <w:p>
            <w:r/>
            <w:r>
              <w:rPr>
                <w:rFonts w:ascii="Times New Roman" w:hAnsi="Times New Roman" w:cs="Times New Roman" w:eastAsia="Times New Roman"/>
                <w:b w:val="0"/>
                <w:i w:val="0"/>
                <w:sz w:val="22"/>
              </w:rPr>
              <w:t>Rama claude/prompt-action-2jh7nz, raíz del repositorio</w:t>
            </w:r>
          </w:p>
        </w:tc>
        <w:tc>
          <w:tcPr>
            <w:tcW w:type="dxa" w:w="2592"/>
          </w:tcPr>
          <w:p>
            <w:r/>
            <w:r>
              <w:rPr>
                <w:rFonts w:ascii="Times New Roman" w:hAnsi="Times New Roman" w:cs="Times New Roman" w:eastAsia="Times New Roman"/>
                <w:b w:val="0"/>
                <w:i w:val="0"/>
                <w:sz w:val="22"/>
              </w:rPr>
              <w:t>Vigente en commit 033fa53. Versión previa en 7826869.</w:t>
            </w:r>
          </w:p>
        </w:tc>
      </w:tr>
      <w:tr>
        <w:tc>
          <w:tcPr>
            <w:tcW w:type="dxa" w:w="3456"/>
          </w:tcPr>
          <w:p>
            <w:r/>
            <w:r>
              <w:rPr>
                <w:rFonts w:ascii="Times New Roman" w:hAnsi="Times New Roman" w:cs="Times New Roman" w:eastAsia="Times New Roman"/>
                <w:b w:val="0"/>
                <w:i w:val="0"/>
                <w:sz w:val="22"/>
              </w:rPr>
              <w:t>investigacion_botas_uniformes_empleados_municipales_PR.md</w:t>
            </w:r>
          </w:p>
        </w:tc>
        <w:tc>
          <w:tcPr>
            <w:tcW w:type="dxa" w:w="3312"/>
          </w:tcPr>
          <w:p>
            <w:r/>
            <w:r>
              <w:rPr>
                <w:rFonts w:ascii="Times New Roman" w:hAnsi="Times New Roman" w:cs="Times New Roman" w:eastAsia="Times New Roman"/>
                <w:b w:val="0"/>
                <w:i w:val="0"/>
                <w:sz w:val="22"/>
              </w:rPr>
              <w:t>Misma rama</w:t>
            </w:r>
          </w:p>
        </w:tc>
        <w:tc>
          <w:tcPr>
            <w:tcW w:type="dxa" w:w="2592"/>
          </w:tcPr>
          <w:p>
            <w:r/>
            <w:r>
              <w:rPr>
                <w:rFonts w:ascii="Times New Roman" w:hAnsi="Times New Roman" w:cs="Times New Roman" w:eastAsia="Times New Roman"/>
                <w:b w:val="0"/>
                <w:i w:val="0"/>
                <w:sz w:val="22"/>
              </w:rPr>
              <w:t>Vigente. Secciones 1 a 8 más correcciones 2.1.5, 2.4 y 8.2.</w:t>
            </w:r>
          </w:p>
        </w:tc>
      </w:tr>
      <w:tr>
        <w:tc>
          <w:tcPr>
            <w:tcW w:type="dxa" w:w="3456"/>
          </w:tcPr>
          <w:p>
            <w:r/>
            <w:r>
              <w:rPr>
                <w:rFonts w:ascii="Times New Roman" w:hAnsi="Times New Roman" w:cs="Times New Roman" w:eastAsia="Times New Roman"/>
                <w:b w:val="0"/>
                <w:i w:val="0"/>
                <w:sz w:val="22"/>
              </w:rPr>
              <w:t>build_opinion_naguabo.py</w:t>
            </w:r>
          </w:p>
        </w:tc>
        <w:tc>
          <w:tcPr>
            <w:tcW w:type="dxa" w:w="3312"/>
          </w:tcPr>
          <w:p>
            <w:r/>
            <w:r>
              <w:rPr>
                <w:rFonts w:ascii="Times New Roman" w:hAnsi="Times New Roman" w:cs="Times New Roman" w:eastAsia="Times New Roman"/>
                <w:b w:val="0"/>
                <w:i w:val="0"/>
                <w:sz w:val="22"/>
              </w:rPr>
              <w:t>Scratchpad de la sesión (no confirmado en git)</w:t>
            </w:r>
          </w:p>
        </w:tc>
        <w:tc>
          <w:tcPr>
            <w:tcW w:type="dxa" w:w="2592"/>
          </w:tcPr>
          <w:p>
            <w:r/>
            <w:r>
              <w:rPr>
                <w:rFonts w:ascii="Times New Roman" w:hAnsi="Times New Roman" w:cs="Times New Roman" w:eastAsia="Times New Roman"/>
                <w:b w:val="0"/>
                <w:i w:val="0"/>
                <w:sz w:val="22"/>
              </w:rPr>
              <w:t>Script generador de la opinión. Se pierde al cerrar el contenedor.</w:t>
            </w:r>
          </w:p>
        </w:tc>
      </w:tr>
      <w:tr>
        <w:tc>
          <w:tcPr>
            <w:tcW w:type="dxa" w:w="3456"/>
          </w:tcPr>
          <w:p>
            <w:r/>
            <w:r>
              <w:rPr>
                <w:rFonts w:ascii="Times New Roman" w:hAnsi="Times New Roman" w:cs="Times New Roman" w:eastAsia="Times New Roman"/>
                <w:b w:val="0"/>
                <w:i w:val="0"/>
                <w:sz w:val="22"/>
              </w:rPr>
              <w:t>Documentos subidos por el usuario</w:t>
            </w:r>
          </w:p>
        </w:tc>
        <w:tc>
          <w:tcPr>
            <w:tcW w:type="dxa" w:w="3312"/>
          </w:tcPr>
          <w:p>
            <w:r/>
            <w:r>
              <w:rPr>
                <w:rFonts w:ascii="Times New Roman" w:hAnsi="Times New Roman" w:cs="Times New Roman" w:eastAsia="Times New Roman"/>
                <w:b w:val="0"/>
                <w:i w:val="0"/>
                <w:sz w:val="22"/>
              </w:rPr>
              <w:t>/root/.claude/uploads/4544be71-d443-5d7c-aba5-091bd8be38f8/</w:t>
            </w:r>
          </w:p>
        </w:tc>
        <w:tc>
          <w:tcPr>
            <w:tcW w:type="dxa" w:w="2592"/>
          </w:tcPr>
          <w:p>
            <w:r/>
            <w:r>
              <w:rPr>
                <w:rFonts w:ascii="Times New Roman" w:hAnsi="Times New Roman" w:cs="Times New Roman" w:eastAsia="Times New Roman"/>
                <w:b w:val="0"/>
                <w:i w:val="0"/>
                <w:sz w:val="22"/>
              </w:rPr>
              <w:t>Diecinueve archivos. Se pierden al cerrar el contenedor.</w:t>
            </w:r>
          </w:p>
        </w:tc>
      </w:tr>
      <w:tr>
        <w:tc>
          <w:tcPr>
            <w:tcW w:type="dxa" w:w="3456"/>
          </w:tcPr>
          <w:p>
            <w:r/>
            <w:r>
              <w:rPr>
                <w:rFonts w:ascii="Times New Roman" w:hAnsi="Times New Roman" w:cs="Times New Roman" w:eastAsia="Times New Roman"/>
                <w:b w:val="0"/>
                <w:i w:val="0"/>
                <w:sz w:val="22"/>
              </w:rPr>
              <w:t>handoff-naguabo-calzado-2026-09-09.docx</w:t>
            </w:r>
          </w:p>
        </w:tc>
        <w:tc>
          <w:tcPr>
            <w:tcW w:type="dxa" w:w="3312"/>
          </w:tcPr>
          <w:p>
            <w:r/>
            <w:r>
              <w:rPr>
                <w:rFonts w:ascii="Times New Roman" w:hAnsi="Times New Roman" w:cs="Times New Roman" w:eastAsia="Times New Roman"/>
                <w:b w:val="0"/>
                <w:i w:val="0"/>
                <w:sz w:val="22"/>
              </w:rPr>
              <w:t>Misma rama</w:t>
            </w:r>
          </w:p>
        </w:tc>
        <w:tc>
          <w:tcPr>
            <w:tcW w:type="dxa" w:w="2592"/>
          </w:tcPr>
          <w:p>
            <w:r/>
            <w:r>
              <w:rPr>
                <w:rFonts w:ascii="Times New Roman" w:hAnsi="Times New Roman" w:cs="Times New Roman" w:eastAsia="Times New Roman"/>
                <w:b w:val="0"/>
                <w:i w:val="0"/>
                <w:sz w:val="22"/>
              </w:rPr>
              <w:t>Este memorando.</w:t>
            </w:r>
          </w:p>
        </w:tc>
      </w:tr>
    </w:tbl>
    <w:p/>
    <w:p>
      <w:pPr>
        <w:spacing w:after="120"/>
        <w:jc w:val="left"/>
      </w:pPr>
      <w:r>
        <w:rPr>
          <w:rFonts w:ascii="Times New Roman" w:hAnsi="Times New Roman" w:cs="Times New Roman" w:eastAsia="Times New Roman"/>
          <w:b/>
          <w:i w:val="0"/>
          <w:sz w:val="24"/>
        </w:rPr>
        <w:t>8. Partes y contactos</w:t>
      </w:r>
    </w:p>
    <w:p>
      <w:pPr>
        <w:spacing w:after="120"/>
        <w:ind w:left="432"/>
        <w:jc w:val="both"/>
      </w:pPr>
      <w:r>
        <w:rPr>
          <w:rFonts w:ascii="Times New Roman" w:hAnsi="Times New Roman" w:cs="Times New Roman" w:eastAsia="Times New Roman"/>
          <w:b w:val="0"/>
          <w:i w:val="0"/>
          <w:sz w:val="24"/>
        </w:rPr>
        <w:t>- Sra. Rosa Méndez Cabret, Directora de Recursos Humanos, Municipio de Naguabo. Destinataria de la opinión. Correo no provisto.</w:t>
      </w:r>
    </w:p>
    <w:p>
      <w:pPr>
        <w:spacing w:after="120"/>
        <w:ind w:left="432"/>
        <w:jc w:val="both"/>
      </w:pPr>
      <w:r>
        <w:rPr>
          <w:rFonts w:ascii="Times New Roman" w:hAnsi="Times New Roman" w:cs="Times New Roman" w:eastAsia="Times New Roman"/>
          <w:b w:val="0"/>
          <w:i w:val="0"/>
          <w:sz w:val="24"/>
        </w:rPr>
        <w:t>- Hon. Miraidaliz Rosario Pagán, Alcaldesa del Municipio de Naguabo. Firma la especificación de clase 2111. Autoridad Nominadora según el Artículo 18 del Reglamento.</w:t>
      </w:r>
    </w:p>
    <w:p>
      <w:pPr>
        <w:spacing w:after="120"/>
        <w:ind w:left="432"/>
        <w:jc w:val="both"/>
      </w:pPr>
      <w:r>
        <w:rPr>
          <w:rFonts w:ascii="Times New Roman" w:hAnsi="Times New Roman" w:cs="Times New Roman" w:eastAsia="Times New Roman"/>
          <w:b w:val="0"/>
          <w:i w:val="0"/>
          <w:sz w:val="24"/>
        </w:rPr>
        <w:t>- Lcdo. Carlos M. Santini Rodríguez, autor de la opinión según el membrete del skill (RUA 12862, carsantini@gmail.com, tel. 787.636.0770).</w:t>
      </w:r>
    </w:p>
    <w:p>
      <w:pPr>
        <w:spacing w:after="120"/>
        <w:ind w:left="432"/>
        <w:jc w:val="both"/>
      </w:pPr>
      <w:r>
        <w:rPr>
          <w:rFonts w:ascii="Times New Roman" w:hAnsi="Times New Roman" w:cs="Times New Roman" w:eastAsia="Times New Roman"/>
          <w:b w:val="0"/>
          <w:i w:val="0"/>
          <w:sz w:val="24"/>
        </w:rPr>
        <w:t>- Mr. Donny Groh, International Union of Elevator Constructors, destinatario de la carta de OSHA de 9 de diciembre de 2013, citada en la opinión.</w:t>
      </w:r>
    </w:p>
    <w:p>
      <w:pPr>
        <w:spacing w:after="120"/>
        <w:jc w:val="left"/>
      </w:pPr>
      <w:r>
        <w:rPr>
          <w:rFonts w:ascii="Times New Roman" w:hAnsi="Times New Roman" w:cs="Times New Roman" w:eastAsia="Times New Roman"/>
          <w:b/>
          <w:i w:val="0"/>
          <w:sz w:val="24"/>
        </w:rPr>
        <w:t>9. Notas y observaciones</w:t>
      </w:r>
    </w:p>
    <w:p>
      <w:pPr>
        <w:spacing w:after="120"/>
        <w:ind w:left="432"/>
        <w:jc w:val="both"/>
      </w:pPr>
      <w:r>
        <w:rPr>
          <w:rFonts w:ascii="Times New Roman" w:hAnsi="Times New Roman" w:cs="Times New Roman" w:eastAsia="Times New Roman"/>
          <w:b w:val="0"/>
          <w:i w:val="0"/>
          <w:sz w:val="24"/>
        </w:rPr>
        <w:t>- Instrucciones del usuario en la sesión. Actuar sobre el prompt. Incluir a OSHA en la investigación. Usar el skill de opinión legal. Absorber los documentos antes de redactar. No hacer nada hasta que subiera todos los documentos. "go". Verificar por cuenta propia lo pendiente. "no cambies la opinion, dame el /handoff file".</w:t>
      </w:r>
    </w:p>
    <w:p>
      <w:pPr>
        <w:spacing w:after="120"/>
        <w:ind w:left="432"/>
        <w:jc w:val="both"/>
      </w:pPr>
      <w:r>
        <w:rPr>
          <w:rFonts w:ascii="Times New Roman" w:hAnsi="Times New Roman" w:cs="Times New Roman" w:eastAsia="Times New Roman"/>
          <w:b w:val="0"/>
          <w:i w:val="0"/>
          <w:sz w:val="24"/>
        </w:rPr>
        <w:t>- Reglas de estilo aplicadas y a mantener. Sin guiones largos, sin asteriscos ni negritas en el texto de investigación, comillas rectas, "procesales" y "operacional", nota de confianza al final de respuestas y no dentro de documentos formales, metadatos eliminados de los docx.</w:t>
      </w:r>
    </w:p>
    <w:p>
      <w:pPr>
        <w:spacing w:after="120"/>
        <w:ind w:left="432"/>
        <w:jc w:val="both"/>
      </w:pPr>
      <w:r>
        <w:rPr>
          <w:rFonts w:ascii="Times New Roman" w:hAnsi="Times New Roman" w:cs="Times New Roman" w:eastAsia="Times New Roman"/>
          <w:b w:val="0"/>
          <w:i w:val="0"/>
          <w:sz w:val="24"/>
        </w:rPr>
        <w:t>- Riesgo señalado en la opinión. Tolerar trabajadores en chancletas en tareas de escombros, asfalto, neumáticos o mudanza mientras no se complete la evaluación de riesgos constituye incumplimiento de la Sección 6(a) de la Ley 16-1975 según la opinión.</w:t>
      </w:r>
    </w:p>
    <w:p>
      <w:pPr>
        <w:spacing w:after="120"/>
        <w:ind w:left="432"/>
        <w:jc w:val="both"/>
      </w:pPr>
      <w:r>
        <w:rPr>
          <w:rFonts w:ascii="Times New Roman" w:hAnsi="Times New Roman" w:cs="Times New Roman" w:eastAsia="Times New Roman"/>
          <w:b w:val="0"/>
          <w:i w:val="0"/>
          <w:sz w:val="24"/>
        </w:rPr>
        <w:t>- Área de incertidumbre principal. Si la exclusión de los gobiernos municipales de la Ley 180-1998 subsiste tras la Ley 47-2021. La opinión se diseñó para no depender de ello.</w:t>
      </w:r>
    </w:p>
    <w:p>
      <w:pPr>
        <w:spacing w:after="120"/>
        <w:ind w:left="432"/>
        <w:jc w:val="both"/>
      </w:pPr>
      <w:r>
        <w:rPr>
          <w:rFonts w:ascii="Times New Roman" w:hAnsi="Times New Roman" w:cs="Times New Roman" w:eastAsia="Times New Roman"/>
          <w:b w:val="0"/>
          <w:i w:val="0"/>
          <w:sz w:val="24"/>
        </w:rPr>
        <w:t>- Limitación de entorno. Ninguna fuente primaria fue accesible por red en toda la sesión. Toda verificación provino de documentos subidos o pegados por el usuario.</w:t>
      </w:r>
    </w:p>
    <w:p>
      <w:pPr>
        <w:spacing w:after="120"/>
        <w:ind w:left="432"/>
        <w:jc w:val="both"/>
      </w:pPr>
      <w:r>
        <w:rPr>
          <w:rFonts w:ascii="Times New Roman" w:hAnsi="Times New Roman" w:cs="Times New Roman" w:eastAsia="Times New Roman"/>
          <w:b w:val="0"/>
          <w:i w:val="0"/>
          <w:sz w:val="24"/>
        </w:rPr>
        <w:t>- Los archivos del scratchpad y de uploads no sobreviven al cierre del contenedor. Lo confirmado en la rama sí.</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
  <HeadingPairs>
    <vt:vector size="2" baseType="variant">
      <vt:variant>
        <vt:lpstr>Title</vt:lpstr>
      </vt:variant>
      <vt:variant>
        <vt:i4>1</vt:i4>
      </vt:variant>
    </vt:vector>
  </HeadingPairs>
  <TitlesOfParts>
    <vt:vector size="1" baseType="lpstr">
      <vt:lpstr/>
    </vt:vector>
  </TitlesOfParts>
  <Manager/>
  <Company/>
  <LinksUpToDate/>
  <CharactersWithSpaces>0</CharactersWithSpaces>
  <SharedDoc/>
  <HyperlinkBase/>
  <HyperlinksChanged/>
  <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
  <dcterms:created xsi:type="dcterms:W3CDTF">2013-12-23T23:15:00Z</dcterms:created>
  <dcterms:modified xsi:type="dcterms:W3CDTF">2013-12-23T23:15:00Z</dcterms:modified>
  <cp:category/>
  <cp:contentStatus/>
  <dc:identifier/>
  <dc:language/>
  <cp:version/>
</cp:coreProperties>
</file>