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Problema 3. Sumatoria. Desarrolle un algoritmo que calcule la sumatoria de los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números enteros pares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comprendidos entre 1 y 100. El Programa deberá mostrar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los números.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2457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1504" l="13953" r="10797" t="1238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Problema 4. Números impares. Desarrolle un algoritmo que muestre los 300 primeros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números, determine cuántos de ellos son impares y al final indicar la sumatoria 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todos los números.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143375" cy="1828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6548" l="11129" r="16611" t="168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24300" cy="187987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2871" l="16279" r="15282" t="1898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79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lunes, 05 de mayo 2025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