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2088C" w14:textId="40C34314" w:rsidR="003F488B" w:rsidRDefault="00661EBA" w:rsidP="00661EBA">
      <w:pPr>
        <w:pStyle w:val="Caption"/>
        <w:rPr>
          <w:rFonts w:ascii="Times New Roman" w:hAnsi="Times New Roman"/>
          <w:sz w:val="24"/>
          <w:szCs w:val="24"/>
        </w:rPr>
      </w:pPr>
      <w:r>
        <w:rPr>
          <w:rFonts w:ascii="Times New Roman" w:hAnsi="Times New Roman"/>
          <w:sz w:val="24"/>
          <w:szCs w:val="24"/>
        </w:rPr>
        <w:t>Supplementary Materials</w:t>
      </w:r>
    </w:p>
    <w:p w14:paraId="47709D42" w14:textId="57990C00" w:rsidR="00661EBA" w:rsidRDefault="00661EBA" w:rsidP="00661EBA">
      <w:pPr>
        <w:rPr>
          <w:b/>
          <w:bCs/>
          <w:lang w:val="en-US" w:eastAsia="en-CA"/>
        </w:rPr>
      </w:pPr>
      <w:r w:rsidRPr="00661EBA">
        <w:rPr>
          <w:b/>
          <w:bCs/>
          <w:lang w:val="en-US" w:eastAsia="en-CA"/>
        </w:rPr>
        <w:t>Tables</w:t>
      </w:r>
    </w:p>
    <w:p w14:paraId="64404ADA" w14:textId="77777777" w:rsidR="00ED47E1" w:rsidRDefault="00ED47E1" w:rsidP="00661EBA">
      <w:pPr>
        <w:rPr>
          <w:b/>
          <w:bCs/>
          <w:sz w:val="20"/>
          <w:szCs w:val="20"/>
          <w:lang w:val="en-US" w:eastAsia="en-CA"/>
        </w:rPr>
      </w:pPr>
    </w:p>
    <w:p w14:paraId="6382E771" w14:textId="1B95CD1F" w:rsidR="009A7531" w:rsidRPr="00ED47E1" w:rsidRDefault="00ED47E1" w:rsidP="00661EBA">
      <w:pPr>
        <w:rPr>
          <w:lang w:val="en-US" w:eastAsia="en-CA"/>
        </w:rPr>
      </w:pPr>
      <w:r w:rsidRPr="00ED47E1">
        <w:rPr>
          <w:b/>
          <w:bCs/>
          <w:lang w:val="en-US" w:eastAsia="en-CA"/>
        </w:rPr>
        <w:t xml:space="preserve">Table 1. </w:t>
      </w:r>
      <w:r>
        <w:rPr>
          <w:lang w:val="en-US" w:eastAsia="en-CA"/>
        </w:rPr>
        <w:t xml:space="preserve">Examples of the use of lakes and adjacent creeks or streams by freshwater fishes. </w:t>
      </w:r>
      <w:r w:rsidRPr="00ED47E1">
        <w:rPr>
          <w:b/>
          <w:bCs/>
          <w:lang w:val="en-US" w:eastAsia="en-CA"/>
        </w:rPr>
        <w:t xml:space="preserve"> </w:t>
      </w:r>
    </w:p>
    <w:tbl>
      <w:tblPr>
        <w:tblStyle w:val="TableGrid"/>
        <w:tblW w:w="0" w:type="auto"/>
        <w:tblLook w:val="04A0" w:firstRow="1" w:lastRow="0" w:firstColumn="1" w:lastColumn="0" w:noHBand="0" w:noVBand="1"/>
      </w:tblPr>
      <w:tblGrid>
        <w:gridCol w:w="1150"/>
        <w:gridCol w:w="1646"/>
        <w:gridCol w:w="1372"/>
        <w:gridCol w:w="1842"/>
        <w:gridCol w:w="2074"/>
        <w:gridCol w:w="1266"/>
      </w:tblGrid>
      <w:tr w:rsidR="009A7531" w:rsidRPr="009A7531" w14:paraId="4E5CFF83" w14:textId="77777777" w:rsidTr="009A7531">
        <w:trPr>
          <w:trHeight w:val="340"/>
        </w:trPr>
        <w:tc>
          <w:tcPr>
            <w:tcW w:w="988" w:type="dxa"/>
            <w:hideMark/>
          </w:tcPr>
          <w:p w14:paraId="3F355E5E"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Author &amp; Year</w:t>
            </w:r>
          </w:p>
        </w:tc>
        <w:tc>
          <w:tcPr>
            <w:tcW w:w="1684" w:type="dxa"/>
            <w:hideMark/>
          </w:tcPr>
          <w:p w14:paraId="7D720B58"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Species</w:t>
            </w:r>
          </w:p>
        </w:tc>
        <w:tc>
          <w:tcPr>
            <w:tcW w:w="1151" w:type="dxa"/>
            <w:hideMark/>
          </w:tcPr>
          <w:p w14:paraId="1B2A2EF3"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Trophic Level / Age Class</w:t>
            </w:r>
          </w:p>
        </w:tc>
        <w:tc>
          <w:tcPr>
            <w:tcW w:w="1984" w:type="dxa"/>
            <w:hideMark/>
          </w:tcPr>
          <w:p w14:paraId="3C57DD0B"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Direction of Movement</w:t>
            </w:r>
          </w:p>
        </w:tc>
        <w:tc>
          <w:tcPr>
            <w:tcW w:w="2268" w:type="dxa"/>
            <w:hideMark/>
          </w:tcPr>
          <w:p w14:paraId="11C7D4C0"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Hypothesized Driver</w:t>
            </w:r>
          </w:p>
        </w:tc>
        <w:tc>
          <w:tcPr>
            <w:tcW w:w="1275" w:type="dxa"/>
            <w:hideMark/>
          </w:tcPr>
          <w:p w14:paraId="3A3996DA" w14:textId="77777777" w:rsidR="009A7531" w:rsidRPr="009A7531" w:rsidRDefault="009A7531" w:rsidP="009A7531">
            <w:pPr>
              <w:rPr>
                <w:rFonts w:ascii="Arial" w:hAnsi="Arial" w:cs="Arial"/>
                <w:b/>
                <w:bCs/>
                <w:sz w:val="20"/>
                <w:szCs w:val="20"/>
                <w:lang w:eastAsia="en-CA"/>
              </w:rPr>
            </w:pPr>
            <w:r w:rsidRPr="009A7531">
              <w:rPr>
                <w:rFonts w:ascii="Arial" w:hAnsi="Arial" w:cs="Arial"/>
                <w:b/>
                <w:bCs/>
                <w:sz w:val="20"/>
                <w:szCs w:val="20"/>
                <w:lang w:eastAsia="en-CA"/>
              </w:rPr>
              <w:t>Time Scale</w:t>
            </w:r>
          </w:p>
        </w:tc>
      </w:tr>
      <w:tr w:rsidR="009A7531" w:rsidRPr="009A7531" w14:paraId="292074C3" w14:textId="77777777" w:rsidTr="009A7531">
        <w:trPr>
          <w:trHeight w:val="819"/>
        </w:trPr>
        <w:tc>
          <w:tcPr>
            <w:tcW w:w="988" w:type="dxa"/>
            <w:hideMark/>
          </w:tcPr>
          <w:p w14:paraId="60C32805"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Brönmark et al. 2008</w:t>
            </w:r>
          </w:p>
        </w:tc>
        <w:tc>
          <w:tcPr>
            <w:tcW w:w="1684" w:type="dxa"/>
            <w:hideMark/>
          </w:tcPr>
          <w:p w14:paraId="39E3231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Roach (Rutilus rutilus)</w:t>
            </w:r>
          </w:p>
        </w:tc>
        <w:tc>
          <w:tcPr>
            <w:tcW w:w="1151" w:type="dxa"/>
            <w:hideMark/>
          </w:tcPr>
          <w:p w14:paraId="59C5993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 consumer; Adult</w:t>
            </w:r>
          </w:p>
        </w:tc>
        <w:tc>
          <w:tcPr>
            <w:tcW w:w="1984" w:type="dxa"/>
            <w:hideMark/>
          </w:tcPr>
          <w:p w14:paraId="0C94DDB5" w14:textId="47BC295A"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(lake→stream </w:t>
            </w:r>
            <w:r w:rsidRPr="009A7531">
              <w:rPr>
                <w:rFonts w:ascii="Arial" w:hAnsi="Arial" w:cs="Arial"/>
                <w:sz w:val="20"/>
                <w:szCs w:val="20"/>
                <w:lang w:eastAsia="en-CA"/>
              </w:rPr>
              <w:t>for overwintering</w:t>
            </w:r>
            <w:r w:rsidRPr="009A7531">
              <w:rPr>
                <w:rFonts w:ascii="Arial" w:hAnsi="Arial" w:cs="Arial"/>
                <w:sz w:val="20"/>
                <w:szCs w:val="20"/>
                <w:lang w:eastAsia="en-CA"/>
              </w:rPr>
              <w:t>, return to lake</w:t>
            </w:r>
            <w:r w:rsidRPr="009A7531">
              <w:rPr>
                <w:rFonts w:ascii="Arial" w:hAnsi="Arial" w:cs="Arial"/>
                <w:sz w:val="20"/>
                <w:szCs w:val="20"/>
                <w:lang w:eastAsia="en-CA"/>
              </w:rPr>
              <w:t xml:space="preserve"> in spring</w:t>
            </w:r>
            <w:r w:rsidRPr="009A7531">
              <w:rPr>
                <w:rFonts w:ascii="Arial" w:hAnsi="Arial" w:cs="Arial"/>
                <w:sz w:val="20"/>
                <w:szCs w:val="20"/>
                <w:lang w:eastAsia="en-CA"/>
              </w:rPr>
              <w:t>)</w:t>
            </w:r>
          </w:p>
        </w:tc>
        <w:tc>
          <w:tcPr>
            <w:tcW w:w="2268" w:type="dxa"/>
            <w:hideMark/>
          </w:tcPr>
          <w:p w14:paraId="460A17BC" w14:textId="6EDD9BCF"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Predat</w:t>
            </w:r>
            <w:r w:rsidR="001F3CE8">
              <w:rPr>
                <w:rFonts w:ascii="Arial" w:hAnsi="Arial" w:cs="Arial"/>
                <w:sz w:val="20"/>
                <w:szCs w:val="20"/>
                <w:lang w:eastAsia="en-CA"/>
              </w:rPr>
              <w:t>or</w:t>
            </w:r>
            <w:r w:rsidRPr="009A7531">
              <w:rPr>
                <w:rFonts w:ascii="Arial" w:hAnsi="Arial" w:cs="Arial"/>
                <w:sz w:val="20"/>
                <w:szCs w:val="20"/>
                <w:lang w:eastAsia="en-CA"/>
              </w:rPr>
              <w:t xml:space="preserve"> avoidance (reducing growth:predation trade-off in lake in winter)</w:t>
            </w:r>
          </w:p>
        </w:tc>
        <w:tc>
          <w:tcPr>
            <w:tcW w:w="1275" w:type="dxa"/>
            <w:hideMark/>
          </w:tcPr>
          <w:p w14:paraId="0C3D5CDE" w14:textId="1798CFFD"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001638F7" w14:textId="77777777" w:rsidTr="009A7531">
        <w:trPr>
          <w:trHeight w:val="1020"/>
        </w:trPr>
        <w:tc>
          <w:tcPr>
            <w:tcW w:w="988" w:type="dxa"/>
            <w:hideMark/>
          </w:tcPr>
          <w:p w14:paraId="5D2C149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Swanson et al. 2021</w:t>
            </w:r>
          </w:p>
        </w:tc>
        <w:tc>
          <w:tcPr>
            <w:tcW w:w="1684" w:type="dxa"/>
            <w:hideMark/>
          </w:tcPr>
          <w:p w14:paraId="7F1E9DB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White sucker (Catostomus commersonii); longnose sucker (Catostomus catostomus)</w:t>
            </w:r>
          </w:p>
        </w:tc>
        <w:tc>
          <w:tcPr>
            <w:tcW w:w="1151" w:type="dxa"/>
            <w:hideMark/>
          </w:tcPr>
          <w:p w14:paraId="5495BD3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0F89B0BE" w14:textId="17C5B3EA"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(lake→stream for spawning, return to lake)</w:t>
            </w:r>
          </w:p>
        </w:tc>
        <w:tc>
          <w:tcPr>
            <w:tcW w:w="2268" w:type="dxa"/>
            <w:hideMark/>
          </w:tcPr>
          <w:p w14:paraId="304E2BD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cued by water temperature, discharge, and time of day</w:t>
            </w:r>
          </w:p>
        </w:tc>
        <w:tc>
          <w:tcPr>
            <w:tcW w:w="1275" w:type="dxa"/>
            <w:hideMark/>
          </w:tcPr>
          <w:p w14:paraId="41F571A9" w14:textId="47C2A156"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2C0A19CB" w14:textId="77777777" w:rsidTr="009A7531">
        <w:trPr>
          <w:trHeight w:val="1103"/>
        </w:trPr>
        <w:tc>
          <w:tcPr>
            <w:tcW w:w="988" w:type="dxa"/>
            <w:hideMark/>
          </w:tcPr>
          <w:p w14:paraId="6F9403A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Magnuson et al. 1985</w:t>
            </w:r>
          </w:p>
        </w:tc>
        <w:tc>
          <w:tcPr>
            <w:tcW w:w="1684" w:type="dxa"/>
            <w:hideMark/>
          </w:tcPr>
          <w:p w14:paraId="1C5D89D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cyprinids and percids (8 species)</w:t>
            </w:r>
          </w:p>
        </w:tc>
        <w:tc>
          <w:tcPr>
            <w:tcW w:w="1151" w:type="dxa"/>
            <w:hideMark/>
          </w:tcPr>
          <w:p w14:paraId="4B7DF8F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Primary–secondary consumer; YOY (and adult, treated separately)</w:t>
            </w:r>
          </w:p>
        </w:tc>
        <w:tc>
          <w:tcPr>
            <w:tcW w:w="1984" w:type="dxa"/>
            <w:hideMark/>
          </w:tcPr>
          <w:p w14:paraId="3AC4D8DF" w14:textId="7EC4F1A6"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(lake→stream in fall/winter; stream→lake in spring) for YOY; within-lake vertical </w:t>
            </w:r>
            <w:r>
              <w:rPr>
                <w:rFonts w:ascii="Arial" w:hAnsi="Arial" w:cs="Arial"/>
                <w:sz w:val="20"/>
                <w:szCs w:val="20"/>
                <w:lang w:eastAsia="en-CA"/>
              </w:rPr>
              <w:t xml:space="preserve">movements </w:t>
            </w:r>
            <w:r w:rsidRPr="009A7531">
              <w:rPr>
                <w:rFonts w:ascii="Arial" w:hAnsi="Arial" w:cs="Arial"/>
                <w:sz w:val="20"/>
                <w:szCs w:val="20"/>
                <w:lang w:eastAsia="en-CA"/>
              </w:rPr>
              <w:t>for adults</w:t>
            </w:r>
          </w:p>
        </w:tc>
        <w:tc>
          <w:tcPr>
            <w:tcW w:w="2268" w:type="dxa"/>
            <w:hideMark/>
          </w:tcPr>
          <w:p w14:paraId="2CC0C53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Hypoxia avoidance (winterkill avoidance); cued by ice formation or darkness (not oxygen stress itself)</w:t>
            </w:r>
          </w:p>
        </w:tc>
        <w:tc>
          <w:tcPr>
            <w:tcW w:w="1275" w:type="dxa"/>
            <w:hideMark/>
          </w:tcPr>
          <w:p w14:paraId="7A5BBA61" w14:textId="6D672653"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6E783085" w14:textId="77777777" w:rsidTr="009A7531">
        <w:trPr>
          <w:trHeight w:val="552"/>
        </w:trPr>
        <w:tc>
          <w:tcPr>
            <w:tcW w:w="988" w:type="dxa"/>
            <w:hideMark/>
          </w:tcPr>
          <w:p w14:paraId="1A8C52A5"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Hahlbeck et al. 2022</w:t>
            </w:r>
          </w:p>
        </w:tc>
        <w:tc>
          <w:tcPr>
            <w:tcW w:w="1684" w:type="dxa"/>
            <w:hideMark/>
          </w:tcPr>
          <w:p w14:paraId="144B4BE0"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Redband rainbow trout (Oncorhynchus mykiss newberrii)</w:t>
            </w:r>
          </w:p>
        </w:tc>
        <w:tc>
          <w:tcPr>
            <w:tcW w:w="1151" w:type="dxa"/>
            <w:hideMark/>
          </w:tcPr>
          <w:p w14:paraId="27AA923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Tertiary consumer; Adult</w:t>
            </w:r>
          </w:p>
        </w:tc>
        <w:tc>
          <w:tcPr>
            <w:tcW w:w="1984" w:type="dxa"/>
            <w:hideMark/>
          </w:tcPr>
          <w:p w14:paraId="55B8FB0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Bidirectional (biannual: tributary↔lake)</w:t>
            </w:r>
          </w:p>
        </w:tc>
        <w:tc>
          <w:tcPr>
            <w:tcW w:w="2268" w:type="dxa"/>
            <w:hideMark/>
          </w:tcPr>
          <w:p w14:paraId="3483700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Thermal refuge (summer) +  foraging (spring/fall) + reproduction (winter spawning)</w:t>
            </w:r>
          </w:p>
        </w:tc>
        <w:tc>
          <w:tcPr>
            <w:tcW w:w="1275" w:type="dxa"/>
            <w:hideMark/>
          </w:tcPr>
          <w:p w14:paraId="316E45C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Seasonal (biannual cycle)</w:t>
            </w:r>
          </w:p>
        </w:tc>
      </w:tr>
      <w:tr w:rsidR="009A7531" w:rsidRPr="009A7531" w14:paraId="6A6C6CC6" w14:textId="77777777" w:rsidTr="009A7531">
        <w:trPr>
          <w:trHeight w:val="720"/>
        </w:trPr>
        <w:tc>
          <w:tcPr>
            <w:tcW w:w="988" w:type="dxa"/>
            <w:hideMark/>
          </w:tcPr>
          <w:p w14:paraId="13EA4BD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Colborne et al. 2019</w:t>
            </w:r>
          </w:p>
        </w:tc>
        <w:tc>
          <w:tcPr>
            <w:tcW w:w="1684" w:type="dxa"/>
            <w:hideMark/>
          </w:tcPr>
          <w:p w14:paraId="1E6D2631"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Lake sturgeon (Acipenser fulvescens)</w:t>
            </w:r>
          </w:p>
        </w:tc>
        <w:tc>
          <w:tcPr>
            <w:tcW w:w="1151" w:type="dxa"/>
            <w:hideMark/>
          </w:tcPr>
          <w:p w14:paraId="5C5EF58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41FDF9B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Bidirectional (river↔lake; 5 distinct individual patterns)</w:t>
            </w:r>
          </w:p>
        </w:tc>
        <w:tc>
          <w:tcPr>
            <w:tcW w:w="2268" w:type="dxa"/>
            <w:hideMark/>
          </w:tcPr>
          <w:p w14:paraId="4761816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reproduction (spawning), foraging, and overwintering refuge; high individual variation</w:t>
            </w:r>
          </w:p>
        </w:tc>
        <w:tc>
          <w:tcPr>
            <w:tcW w:w="1275" w:type="dxa"/>
            <w:hideMark/>
          </w:tcPr>
          <w:p w14:paraId="02AE0E6F" w14:textId="4EC60BAA"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68074C93" w14:textId="77777777" w:rsidTr="009A7531">
        <w:trPr>
          <w:trHeight w:val="1020"/>
        </w:trPr>
        <w:tc>
          <w:tcPr>
            <w:tcW w:w="988" w:type="dxa"/>
            <w:hideMark/>
          </w:tcPr>
          <w:p w14:paraId="5C95C77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Jones et al. 2016</w:t>
            </w:r>
          </w:p>
        </w:tc>
        <w:tc>
          <w:tcPr>
            <w:tcW w:w="1684" w:type="dxa"/>
            <w:hideMark/>
          </w:tcPr>
          <w:p w14:paraId="7912016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Longnose sucker (Catostomus catostomus); white sucker (Catostomus commersonii)</w:t>
            </w:r>
          </w:p>
        </w:tc>
        <w:tc>
          <w:tcPr>
            <w:tcW w:w="1151" w:type="dxa"/>
            <w:hideMark/>
          </w:tcPr>
          <w:p w14:paraId="42CD098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Adult</w:t>
            </w:r>
          </w:p>
        </w:tc>
        <w:tc>
          <w:tcPr>
            <w:tcW w:w="1984" w:type="dxa"/>
            <w:hideMark/>
          </w:tcPr>
          <w:p w14:paraId="4EF3B84B" w14:textId="60883892"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(lake→stream for spawning, return to lake)</w:t>
            </w:r>
          </w:p>
        </w:tc>
        <w:tc>
          <w:tcPr>
            <w:tcW w:w="2268" w:type="dxa"/>
            <w:hideMark/>
          </w:tcPr>
          <w:p w14:paraId="76F1E1D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nutrient subsidy transfer from lake to oligotrophic stream</w:t>
            </w:r>
          </w:p>
        </w:tc>
        <w:tc>
          <w:tcPr>
            <w:tcW w:w="1275" w:type="dxa"/>
            <w:hideMark/>
          </w:tcPr>
          <w:p w14:paraId="3871278E" w14:textId="6FD6C888"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DC3159" w:rsidRPr="009A7531" w14:paraId="6B5F468F" w14:textId="77777777" w:rsidTr="00DC3159">
        <w:trPr>
          <w:trHeight w:val="557"/>
        </w:trPr>
        <w:tc>
          <w:tcPr>
            <w:tcW w:w="988" w:type="dxa"/>
            <w:hideMark/>
          </w:tcPr>
          <w:p w14:paraId="7B11830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He &amp; Kitchell 1990</w:t>
            </w:r>
          </w:p>
        </w:tc>
        <w:tc>
          <w:tcPr>
            <w:tcW w:w="1684" w:type="dxa"/>
            <w:hideMark/>
          </w:tcPr>
          <w:p w14:paraId="69DBDB3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Multiple small-bodied cyprinids (6+ species); northern pike (Esox lucius) as </w:t>
            </w:r>
            <w:r w:rsidRPr="009A7531">
              <w:rPr>
                <w:rFonts w:ascii="Arial" w:hAnsi="Arial" w:cs="Arial"/>
                <w:sz w:val="20"/>
                <w:szCs w:val="20"/>
                <w:lang w:eastAsia="en-CA"/>
              </w:rPr>
              <w:lastRenderedPageBreak/>
              <w:t>experimental predator</w:t>
            </w:r>
          </w:p>
        </w:tc>
        <w:tc>
          <w:tcPr>
            <w:tcW w:w="1151" w:type="dxa"/>
            <w:hideMark/>
          </w:tcPr>
          <w:p w14:paraId="32768236"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lastRenderedPageBreak/>
              <w:t>Primary consumer; Mixed (adults and juveniles)</w:t>
            </w:r>
          </w:p>
        </w:tc>
        <w:tc>
          <w:tcPr>
            <w:tcW w:w="1984" w:type="dxa"/>
            <w:hideMark/>
          </w:tcPr>
          <w:p w14:paraId="076E1D4C" w14:textId="0D0679F7"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(l</w:t>
            </w:r>
            <w:r w:rsidRPr="009A7531">
              <w:rPr>
                <w:rFonts w:ascii="Arial" w:hAnsi="Arial" w:cs="Arial"/>
                <w:sz w:val="20"/>
                <w:szCs w:val="20"/>
                <w:lang w:eastAsia="en-CA"/>
              </w:rPr>
              <w:t xml:space="preserve">ake→stream </w:t>
            </w:r>
            <w:r>
              <w:rPr>
                <w:rFonts w:ascii="Arial" w:hAnsi="Arial" w:cs="Arial"/>
                <w:sz w:val="20"/>
                <w:szCs w:val="20"/>
                <w:lang w:eastAsia="en-CA"/>
              </w:rPr>
              <w:t xml:space="preserve">; </w:t>
            </w:r>
            <w:r w:rsidRPr="009A7531">
              <w:rPr>
                <w:rFonts w:ascii="Arial" w:hAnsi="Arial" w:cs="Arial"/>
                <w:sz w:val="20"/>
                <w:szCs w:val="20"/>
                <w:lang w:eastAsia="en-CA"/>
              </w:rPr>
              <w:t>predation-driven emigration</w:t>
            </w:r>
            <w:r>
              <w:rPr>
                <w:rFonts w:ascii="Arial" w:hAnsi="Arial" w:cs="Arial"/>
                <w:sz w:val="20"/>
                <w:szCs w:val="20"/>
                <w:lang w:eastAsia="en-CA"/>
              </w:rPr>
              <w:t>)</w:t>
            </w:r>
          </w:p>
        </w:tc>
        <w:tc>
          <w:tcPr>
            <w:tcW w:w="2268" w:type="dxa"/>
            <w:hideMark/>
          </w:tcPr>
          <w:p w14:paraId="2666B19F"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Predation avoidance (experimental); also hypoxia avoidance (seasonal)</w:t>
            </w:r>
          </w:p>
        </w:tc>
        <w:tc>
          <w:tcPr>
            <w:tcW w:w="1275" w:type="dxa"/>
            <w:hideMark/>
          </w:tcPr>
          <w:p w14:paraId="4CB8DF6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 xml:space="preserve">Exiting the lake once to avoid predators; potential seasonal movements </w:t>
            </w:r>
            <w:r w:rsidRPr="009A7531">
              <w:rPr>
                <w:rFonts w:ascii="Arial" w:hAnsi="Arial" w:cs="Arial"/>
                <w:sz w:val="20"/>
                <w:szCs w:val="20"/>
                <w:lang w:eastAsia="en-CA"/>
              </w:rPr>
              <w:lastRenderedPageBreak/>
              <w:t>out of lake to avoid hypoxia</w:t>
            </w:r>
          </w:p>
        </w:tc>
      </w:tr>
      <w:tr w:rsidR="009A7531" w:rsidRPr="009A7531" w14:paraId="7BA28DAA" w14:textId="77777777" w:rsidTr="009A7531">
        <w:trPr>
          <w:trHeight w:val="920"/>
        </w:trPr>
        <w:tc>
          <w:tcPr>
            <w:tcW w:w="988" w:type="dxa"/>
            <w:hideMark/>
          </w:tcPr>
          <w:p w14:paraId="4122DB7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lastRenderedPageBreak/>
              <w:t>Curry et al. 1997</w:t>
            </w:r>
          </w:p>
        </w:tc>
        <w:tc>
          <w:tcPr>
            <w:tcW w:w="1684" w:type="dxa"/>
            <w:hideMark/>
          </w:tcPr>
          <w:p w14:paraId="714AB700"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Brook trout (Salvelinus fontinalis)</w:t>
            </w:r>
          </w:p>
        </w:tc>
        <w:tc>
          <w:tcPr>
            <w:tcW w:w="1151" w:type="dxa"/>
            <w:hideMark/>
          </w:tcPr>
          <w:p w14:paraId="5A5B797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Juvenile (YOY / age-0)</w:t>
            </w:r>
          </w:p>
        </w:tc>
        <w:tc>
          <w:tcPr>
            <w:tcW w:w="1984" w:type="dxa"/>
            <w:hideMark/>
          </w:tcPr>
          <w:p w14:paraId="02502E8B" w14:textId="352DAC94"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(l</w:t>
            </w:r>
            <w:r w:rsidRPr="009A7531">
              <w:rPr>
                <w:rFonts w:ascii="Arial" w:hAnsi="Arial" w:cs="Arial"/>
                <w:sz w:val="20"/>
                <w:szCs w:val="20"/>
                <w:lang w:eastAsia="en-CA"/>
              </w:rPr>
              <w:t>ake→stream</w:t>
            </w:r>
            <w:r>
              <w:rPr>
                <w:rFonts w:ascii="Arial" w:hAnsi="Arial" w:cs="Arial"/>
                <w:sz w:val="20"/>
                <w:szCs w:val="20"/>
                <w:lang w:eastAsia="en-CA"/>
              </w:rPr>
              <w:t xml:space="preserve"> during warmer periods, return to lake in cooler periods</w:t>
            </w:r>
            <w:r>
              <w:rPr>
                <w:rFonts w:ascii="Arial" w:hAnsi="Arial" w:cs="Arial"/>
                <w:sz w:val="20"/>
                <w:szCs w:val="20"/>
                <w:lang w:eastAsia="en-CA"/>
              </w:rPr>
              <w:t>)</w:t>
            </w:r>
          </w:p>
        </w:tc>
        <w:tc>
          <w:tcPr>
            <w:tcW w:w="2268" w:type="dxa"/>
            <w:hideMark/>
          </w:tcPr>
          <w:p w14:paraId="5916293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Thermal refuge (lake littoral temperatures approach lethal levels for YOY in summer; streams cold via groundwater)</w:t>
            </w:r>
          </w:p>
        </w:tc>
        <w:tc>
          <w:tcPr>
            <w:tcW w:w="1275" w:type="dxa"/>
            <w:hideMark/>
          </w:tcPr>
          <w:p w14:paraId="42380EF4" w14:textId="23F0506A" w:rsidR="009A7531" w:rsidRPr="009A7531" w:rsidRDefault="00DC3159" w:rsidP="009A7531">
            <w:pPr>
              <w:rPr>
                <w:rFonts w:ascii="Arial" w:hAnsi="Arial" w:cs="Arial"/>
                <w:sz w:val="20"/>
                <w:szCs w:val="20"/>
                <w:lang w:eastAsia="en-CA"/>
              </w:rPr>
            </w:pPr>
            <w:r w:rsidRPr="009A7531">
              <w:rPr>
                <w:rFonts w:ascii="Arial" w:hAnsi="Arial" w:cs="Arial"/>
                <w:sz w:val="20"/>
                <w:szCs w:val="20"/>
                <w:lang w:eastAsia="en-CA"/>
              </w:rPr>
              <w:t>Seasonal</w:t>
            </w:r>
          </w:p>
        </w:tc>
      </w:tr>
      <w:tr w:rsidR="009A7531" w:rsidRPr="009A7531" w14:paraId="2F318F0A" w14:textId="77777777" w:rsidTr="009A7531">
        <w:trPr>
          <w:trHeight w:val="416"/>
        </w:trPr>
        <w:tc>
          <w:tcPr>
            <w:tcW w:w="988" w:type="dxa"/>
            <w:hideMark/>
          </w:tcPr>
          <w:p w14:paraId="2621A999"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Campbell et al. 2019</w:t>
            </w:r>
          </w:p>
        </w:tc>
        <w:tc>
          <w:tcPr>
            <w:tcW w:w="1684" w:type="dxa"/>
            <w:hideMark/>
          </w:tcPr>
          <w:p w14:paraId="7474093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Lahontan cutthroat trout (Oncorhynchus clarkii henshawi)</w:t>
            </w:r>
          </w:p>
        </w:tc>
        <w:tc>
          <w:tcPr>
            <w:tcW w:w="1151" w:type="dxa"/>
            <w:hideMark/>
          </w:tcPr>
          <w:p w14:paraId="2291F9B1" w14:textId="696030E5"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Tertiary consumer; age-0 and age-1+ juveniles</w:t>
            </w:r>
          </w:p>
        </w:tc>
        <w:tc>
          <w:tcPr>
            <w:tcW w:w="1984" w:type="dxa"/>
            <w:hideMark/>
          </w:tcPr>
          <w:p w14:paraId="5524C10F" w14:textId="29FE3A07"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w:t>
            </w:r>
            <w:r>
              <w:rPr>
                <w:rFonts w:ascii="Arial" w:hAnsi="Arial" w:cs="Arial"/>
                <w:sz w:val="20"/>
                <w:szCs w:val="20"/>
                <w:lang w:eastAsia="en-CA"/>
              </w:rPr>
              <w:t>(</w:t>
            </w:r>
            <w:r>
              <w:rPr>
                <w:rFonts w:ascii="Arial" w:hAnsi="Arial" w:cs="Arial"/>
                <w:sz w:val="20"/>
                <w:szCs w:val="20"/>
                <w:lang w:eastAsia="en-CA"/>
              </w:rPr>
              <w:t>stream</w:t>
            </w:r>
            <w:r w:rsidRPr="009A7531">
              <w:rPr>
                <w:rFonts w:ascii="Arial" w:hAnsi="Arial" w:cs="Arial"/>
                <w:sz w:val="20"/>
                <w:szCs w:val="20"/>
                <w:lang w:eastAsia="en-CA"/>
              </w:rPr>
              <w:t>→</w:t>
            </w:r>
            <w:r>
              <w:rPr>
                <w:rFonts w:ascii="Arial" w:hAnsi="Arial" w:cs="Arial"/>
                <w:sz w:val="20"/>
                <w:szCs w:val="20"/>
                <w:lang w:eastAsia="en-CA"/>
              </w:rPr>
              <w:t>lake</w:t>
            </w:r>
            <w:r>
              <w:rPr>
                <w:rFonts w:ascii="Arial" w:hAnsi="Arial" w:cs="Arial"/>
                <w:sz w:val="20"/>
                <w:szCs w:val="20"/>
                <w:lang w:eastAsia="en-CA"/>
              </w:rPr>
              <w:t xml:space="preserve"> </w:t>
            </w:r>
            <w:r>
              <w:rPr>
                <w:rFonts w:ascii="Arial" w:hAnsi="Arial" w:cs="Arial"/>
                <w:sz w:val="20"/>
                <w:szCs w:val="20"/>
                <w:lang w:eastAsia="en-CA"/>
              </w:rPr>
              <w:t>for juveniles</w:t>
            </w:r>
            <w:r w:rsidR="00DC3159">
              <w:rPr>
                <w:rFonts w:ascii="Arial" w:hAnsi="Arial" w:cs="Arial"/>
                <w:sz w:val="20"/>
                <w:szCs w:val="20"/>
                <w:lang w:eastAsia="en-CA"/>
              </w:rPr>
              <w:t xml:space="preserve"> during spawning period of adults</w:t>
            </w:r>
            <w:r>
              <w:rPr>
                <w:rFonts w:ascii="Arial" w:hAnsi="Arial" w:cs="Arial"/>
                <w:sz w:val="20"/>
                <w:szCs w:val="20"/>
                <w:lang w:eastAsia="en-CA"/>
              </w:rPr>
              <w:t>)</w:t>
            </w:r>
          </w:p>
        </w:tc>
        <w:tc>
          <w:tcPr>
            <w:tcW w:w="2268" w:type="dxa"/>
            <w:hideMark/>
          </w:tcPr>
          <w:p w14:paraId="7E0F3A68" w14:textId="750F1CFD" w:rsidR="009A7531" w:rsidRPr="009A7531" w:rsidRDefault="009A7531" w:rsidP="009A7531">
            <w:pPr>
              <w:rPr>
                <w:rFonts w:ascii="Arial" w:hAnsi="Arial" w:cs="Arial"/>
                <w:sz w:val="20"/>
                <w:szCs w:val="20"/>
                <w:lang w:eastAsia="en-CA"/>
              </w:rPr>
            </w:pPr>
            <w:r>
              <w:rPr>
                <w:rFonts w:ascii="Arial" w:hAnsi="Arial" w:cs="Arial"/>
                <w:sz w:val="20"/>
                <w:szCs w:val="20"/>
                <w:lang w:eastAsia="en-CA"/>
              </w:rPr>
              <w:t xml:space="preserve">Seeking refuge from spawning adults and </w:t>
            </w:r>
            <w:r w:rsidRPr="009A7531">
              <w:rPr>
                <w:rFonts w:ascii="Arial" w:hAnsi="Arial" w:cs="Arial"/>
                <w:sz w:val="20"/>
                <w:szCs w:val="20"/>
                <w:lang w:eastAsia="en-CA"/>
              </w:rPr>
              <w:t xml:space="preserve"> foraging </w:t>
            </w:r>
            <w:r>
              <w:rPr>
                <w:rFonts w:ascii="Arial" w:hAnsi="Arial" w:cs="Arial"/>
                <w:sz w:val="20"/>
                <w:szCs w:val="20"/>
                <w:lang w:eastAsia="en-CA"/>
              </w:rPr>
              <w:t>opportunities in alternate lake habitat</w:t>
            </w:r>
          </w:p>
        </w:tc>
        <w:tc>
          <w:tcPr>
            <w:tcW w:w="1275" w:type="dxa"/>
            <w:hideMark/>
          </w:tcPr>
          <w:p w14:paraId="29409F72" w14:textId="57DA4B2D"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3807ABA4" w14:textId="77777777" w:rsidTr="009A7531">
        <w:trPr>
          <w:trHeight w:val="1124"/>
        </w:trPr>
        <w:tc>
          <w:tcPr>
            <w:tcW w:w="988" w:type="dxa"/>
            <w:hideMark/>
          </w:tcPr>
          <w:p w14:paraId="1B49361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Dolinsek et al. 2014</w:t>
            </w:r>
          </w:p>
        </w:tc>
        <w:tc>
          <w:tcPr>
            <w:tcW w:w="1684" w:type="dxa"/>
            <w:hideMark/>
          </w:tcPr>
          <w:p w14:paraId="62AC164C"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37 species (diverse community; Lake Ontario tributaries)</w:t>
            </w:r>
          </w:p>
        </w:tc>
        <w:tc>
          <w:tcPr>
            <w:tcW w:w="1151" w:type="dxa"/>
            <w:hideMark/>
          </w:tcPr>
          <w:p w14:paraId="7EE03F91"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Primary–tertiary consumer; All age classes (adults and juveniles)</w:t>
            </w:r>
          </w:p>
        </w:tc>
        <w:tc>
          <w:tcPr>
            <w:tcW w:w="1984" w:type="dxa"/>
            <w:hideMark/>
          </w:tcPr>
          <w:p w14:paraId="7BF39555" w14:textId="28D389A1" w:rsidR="009A7531" w:rsidRPr="009A7531" w:rsidRDefault="009A7531" w:rsidP="009A7531">
            <w:pPr>
              <w:rPr>
                <w:rFonts w:ascii="Arial" w:hAnsi="Arial" w:cs="Arial"/>
                <w:sz w:val="20"/>
                <w:szCs w:val="20"/>
                <w:lang w:eastAsia="en-CA"/>
              </w:rPr>
            </w:pPr>
            <w:r>
              <w:rPr>
                <w:rFonts w:ascii="Arial" w:hAnsi="Arial" w:cs="Arial"/>
                <w:sz w:val="20"/>
                <w:szCs w:val="20"/>
                <w:lang w:eastAsia="en-CA"/>
              </w:rPr>
              <w:t xml:space="preserve">Bidirectional </w:t>
            </w:r>
            <w:r w:rsidRPr="009A7531">
              <w:rPr>
                <w:rFonts w:ascii="Arial" w:hAnsi="Arial" w:cs="Arial"/>
                <w:sz w:val="20"/>
                <w:szCs w:val="20"/>
                <w:lang w:eastAsia="en-CA"/>
              </w:rPr>
              <w:t>(lake↔stream)</w:t>
            </w:r>
          </w:p>
        </w:tc>
        <w:tc>
          <w:tcPr>
            <w:tcW w:w="2268" w:type="dxa"/>
            <w:hideMark/>
          </w:tcPr>
          <w:p w14:paraId="4AB4E13A"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Multiple: reproduction, foraging, predation refuge; not exclusively spawning — includes partial migration and non-reproductive habitat use</w:t>
            </w:r>
          </w:p>
        </w:tc>
        <w:tc>
          <w:tcPr>
            <w:tcW w:w="1275" w:type="dxa"/>
            <w:hideMark/>
          </w:tcPr>
          <w:p w14:paraId="183157F2" w14:textId="307DB9DD"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Seasonal</w:t>
            </w:r>
            <w:r w:rsidR="00DC3159">
              <w:rPr>
                <w:rFonts w:ascii="Arial" w:hAnsi="Arial" w:cs="Arial"/>
                <w:sz w:val="20"/>
                <w:szCs w:val="20"/>
                <w:lang w:eastAsia="en-CA"/>
              </w:rPr>
              <w:t xml:space="preserve"> and intra-seasonal</w:t>
            </w:r>
          </w:p>
        </w:tc>
      </w:tr>
      <w:tr w:rsidR="009A7531" w:rsidRPr="009A7531" w14:paraId="4E5EC59F" w14:textId="77777777" w:rsidTr="009A7531">
        <w:trPr>
          <w:trHeight w:val="1020"/>
        </w:trPr>
        <w:tc>
          <w:tcPr>
            <w:tcW w:w="988" w:type="dxa"/>
            <w:hideMark/>
          </w:tcPr>
          <w:p w14:paraId="19508C6B"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Bentley et al. 2015</w:t>
            </w:r>
          </w:p>
        </w:tc>
        <w:tc>
          <w:tcPr>
            <w:tcW w:w="1684" w:type="dxa"/>
            <w:hideMark/>
          </w:tcPr>
          <w:p w14:paraId="4227B68B"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Arctic grayling (Thymallus arcticus); rainbow trout (Oncorhynchus mykiss)</w:t>
            </w:r>
          </w:p>
        </w:tc>
        <w:tc>
          <w:tcPr>
            <w:tcW w:w="1151" w:type="dxa"/>
            <w:hideMark/>
          </w:tcPr>
          <w:p w14:paraId="0892CBE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Secondary consumer; Sub-adult</w:t>
            </w:r>
          </w:p>
        </w:tc>
        <w:tc>
          <w:tcPr>
            <w:tcW w:w="1984" w:type="dxa"/>
            <w:hideMark/>
          </w:tcPr>
          <w:p w14:paraId="02A491B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Bidirectional (inter-tributary movements using lake as corridor)</w:t>
            </w:r>
          </w:p>
        </w:tc>
        <w:tc>
          <w:tcPr>
            <w:tcW w:w="2268" w:type="dxa"/>
            <w:hideMark/>
          </w:tcPr>
          <w:p w14:paraId="7E75FF0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Foraging (prospecting for productive feeding patches; positioning for salmon subsidy)</w:t>
            </w:r>
          </w:p>
        </w:tc>
        <w:tc>
          <w:tcPr>
            <w:tcW w:w="1275" w:type="dxa"/>
            <w:hideMark/>
          </w:tcPr>
          <w:p w14:paraId="0FC68812" w14:textId="30A9526A" w:rsidR="009A7531" w:rsidRPr="009A7531" w:rsidRDefault="00DC3159" w:rsidP="009A7531">
            <w:pPr>
              <w:rPr>
                <w:rFonts w:ascii="Arial" w:hAnsi="Arial" w:cs="Arial"/>
                <w:sz w:val="20"/>
                <w:szCs w:val="20"/>
                <w:lang w:eastAsia="en-CA"/>
              </w:rPr>
            </w:pPr>
            <w:r>
              <w:rPr>
                <w:rFonts w:ascii="Arial" w:hAnsi="Arial" w:cs="Arial"/>
                <w:sz w:val="20"/>
                <w:szCs w:val="20"/>
                <w:lang w:eastAsia="en-CA"/>
              </w:rPr>
              <w:t>Intra-seasonal</w:t>
            </w:r>
          </w:p>
        </w:tc>
      </w:tr>
      <w:tr w:rsidR="009A7531" w:rsidRPr="009A7531" w14:paraId="46B7F21C" w14:textId="77777777" w:rsidTr="009A7531">
        <w:trPr>
          <w:trHeight w:val="1020"/>
        </w:trPr>
        <w:tc>
          <w:tcPr>
            <w:tcW w:w="988" w:type="dxa"/>
            <w:hideMark/>
          </w:tcPr>
          <w:p w14:paraId="24D04F9D"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Kikko et al. 2024</w:t>
            </w:r>
          </w:p>
        </w:tc>
        <w:tc>
          <w:tcPr>
            <w:tcW w:w="1684" w:type="dxa"/>
            <w:hideMark/>
          </w:tcPr>
          <w:p w14:paraId="668AEE42"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Honmoroko (Gnathopogon caerulescens)</w:t>
            </w:r>
          </w:p>
        </w:tc>
        <w:tc>
          <w:tcPr>
            <w:tcW w:w="1151" w:type="dxa"/>
            <w:hideMark/>
          </w:tcPr>
          <w:p w14:paraId="7AE34AF7"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 consumer (planktivore); All age classes (juvenile through adult)</w:t>
            </w:r>
          </w:p>
        </w:tc>
        <w:tc>
          <w:tcPr>
            <w:tcW w:w="1984" w:type="dxa"/>
            <w:hideMark/>
          </w:tcPr>
          <w:p w14:paraId="7CBFE2A2" w14:textId="475057E3"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(main lake</w:t>
            </w:r>
            <w:r>
              <w:rPr>
                <w:rFonts w:ascii="Arial" w:hAnsi="Arial" w:cs="Arial"/>
                <w:sz w:val="20"/>
                <w:szCs w:val="20"/>
                <w:lang w:eastAsia="en-CA"/>
              </w:rPr>
              <w:t xml:space="preserve"> to lagoons for spawning</w:t>
            </w:r>
            <w:r w:rsidRPr="009A7531">
              <w:rPr>
                <w:rFonts w:ascii="Arial" w:hAnsi="Arial" w:cs="Arial"/>
                <w:sz w:val="20"/>
                <w:szCs w:val="20"/>
                <w:lang w:eastAsia="en-CA"/>
              </w:rPr>
              <w:t>, with tributaries as corridors)</w:t>
            </w:r>
          </w:p>
        </w:tc>
        <w:tc>
          <w:tcPr>
            <w:tcW w:w="2268" w:type="dxa"/>
            <w:hideMark/>
          </w:tcPr>
          <w:p w14:paraId="68665942" w14:textId="58B9AD02" w:rsidR="009A7531" w:rsidRPr="009A7531" w:rsidRDefault="00DC3159" w:rsidP="009A7531">
            <w:pPr>
              <w:rPr>
                <w:rFonts w:ascii="Arial" w:hAnsi="Arial" w:cs="Arial"/>
                <w:sz w:val="20"/>
                <w:szCs w:val="20"/>
                <w:lang w:eastAsia="en-CA"/>
              </w:rPr>
            </w:pPr>
            <w:r>
              <w:rPr>
                <w:rFonts w:ascii="Arial" w:hAnsi="Arial" w:cs="Arial"/>
                <w:sz w:val="20"/>
                <w:szCs w:val="20"/>
                <w:lang w:eastAsia="en-CA"/>
              </w:rPr>
              <w:t>Reproduction</w:t>
            </w:r>
            <w:r w:rsidR="009A7531" w:rsidRPr="009A7531">
              <w:rPr>
                <w:rFonts w:ascii="Arial" w:hAnsi="Arial" w:cs="Arial"/>
                <w:sz w:val="20"/>
                <w:szCs w:val="20"/>
                <w:lang w:eastAsia="en-CA"/>
              </w:rPr>
              <w:t xml:space="preserve"> (natal homing to spawning lagoon)</w:t>
            </w:r>
            <w:r>
              <w:rPr>
                <w:rFonts w:ascii="Arial" w:hAnsi="Arial" w:cs="Arial"/>
                <w:sz w:val="20"/>
                <w:szCs w:val="20"/>
                <w:lang w:eastAsia="en-CA"/>
              </w:rPr>
              <w:t>; f</w:t>
            </w:r>
            <w:r w:rsidRPr="009A7531">
              <w:rPr>
                <w:rFonts w:ascii="Arial" w:hAnsi="Arial" w:cs="Arial"/>
                <w:sz w:val="20"/>
                <w:szCs w:val="20"/>
                <w:lang w:eastAsia="en-CA"/>
              </w:rPr>
              <w:t xml:space="preserve">oraging (availability of zooplankton prey) </w:t>
            </w:r>
          </w:p>
        </w:tc>
        <w:tc>
          <w:tcPr>
            <w:tcW w:w="1275" w:type="dxa"/>
            <w:hideMark/>
          </w:tcPr>
          <w:p w14:paraId="397B3549" w14:textId="34984E5B"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r w:rsidR="009A7531" w:rsidRPr="009A7531" w14:paraId="0CE7DCDF" w14:textId="77777777" w:rsidTr="009A7531">
        <w:trPr>
          <w:trHeight w:val="558"/>
        </w:trPr>
        <w:tc>
          <w:tcPr>
            <w:tcW w:w="988" w:type="dxa"/>
            <w:hideMark/>
          </w:tcPr>
          <w:p w14:paraId="19CFE5AE"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Lindsey &amp; Northcote 1963</w:t>
            </w:r>
          </w:p>
        </w:tc>
        <w:tc>
          <w:tcPr>
            <w:tcW w:w="1684" w:type="dxa"/>
            <w:hideMark/>
          </w:tcPr>
          <w:p w14:paraId="57AAFEF4"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Redside shiner (Richardsonius balteatus)</w:t>
            </w:r>
          </w:p>
        </w:tc>
        <w:tc>
          <w:tcPr>
            <w:tcW w:w="1151" w:type="dxa"/>
            <w:hideMark/>
          </w:tcPr>
          <w:p w14:paraId="5603C010"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Primary–secondary consumer; Adult and larvae/fry (treated separately)</w:t>
            </w:r>
          </w:p>
        </w:tc>
        <w:tc>
          <w:tcPr>
            <w:tcW w:w="1984" w:type="dxa"/>
            <w:hideMark/>
          </w:tcPr>
          <w:p w14:paraId="68EC1574" w14:textId="4F154B65" w:rsidR="009A7531" w:rsidRPr="009A7531" w:rsidRDefault="009A7531" w:rsidP="009A7531">
            <w:pPr>
              <w:rPr>
                <w:rFonts w:ascii="Arial" w:hAnsi="Arial" w:cs="Arial"/>
                <w:sz w:val="20"/>
                <w:szCs w:val="20"/>
                <w:lang w:eastAsia="en-CA"/>
              </w:rPr>
            </w:pPr>
            <w:r>
              <w:rPr>
                <w:rFonts w:ascii="Arial" w:hAnsi="Arial" w:cs="Arial"/>
                <w:sz w:val="20"/>
                <w:szCs w:val="20"/>
                <w:lang w:eastAsia="en-CA"/>
              </w:rPr>
              <w:t>Directional</w:t>
            </w:r>
            <w:r w:rsidRPr="009A7531">
              <w:rPr>
                <w:rFonts w:ascii="Arial" w:hAnsi="Arial" w:cs="Arial"/>
                <w:sz w:val="20"/>
                <w:szCs w:val="20"/>
                <w:lang w:eastAsia="en-CA"/>
              </w:rPr>
              <w:t xml:space="preserve"> (lake→stream for spawning; fry passively downstream stream→lake)</w:t>
            </w:r>
          </w:p>
        </w:tc>
        <w:tc>
          <w:tcPr>
            <w:tcW w:w="2268" w:type="dxa"/>
            <w:hideMark/>
          </w:tcPr>
          <w:p w14:paraId="43FFF5B5" w14:textId="77777777" w:rsidR="009A7531" w:rsidRPr="009A7531" w:rsidRDefault="009A7531" w:rsidP="009A7531">
            <w:pPr>
              <w:rPr>
                <w:rFonts w:ascii="Arial" w:hAnsi="Arial" w:cs="Arial"/>
                <w:sz w:val="20"/>
                <w:szCs w:val="20"/>
                <w:lang w:eastAsia="en-CA"/>
              </w:rPr>
            </w:pPr>
            <w:r w:rsidRPr="009A7531">
              <w:rPr>
                <w:rFonts w:ascii="Arial" w:hAnsi="Arial" w:cs="Arial"/>
                <w:sz w:val="20"/>
                <w:szCs w:val="20"/>
                <w:lang w:eastAsia="en-CA"/>
              </w:rPr>
              <w:t>Reproduction (spawning; triggered by temperature &gt;10°C); passive fry displacement away from ephemeral stream habitat</w:t>
            </w:r>
          </w:p>
        </w:tc>
        <w:tc>
          <w:tcPr>
            <w:tcW w:w="1275" w:type="dxa"/>
            <w:hideMark/>
          </w:tcPr>
          <w:p w14:paraId="4D81F02D" w14:textId="12AD365E" w:rsidR="009A7531" w:rsidRPr="009A7531" w:rsidRDefault="00DC3159" w:rsidP="009A7531">
            <w:pPr>
              <w:rPr>
                <w:rFonts w:ascii="Arial" w:hAnsi="Arial" w:cs="Arial"/>
                <w:sz w:val="20"/>
                <w:szCs w:val="20"/>
                <w:lang w:eastAsia="en-CA"/>
              </w:rPr>
            </w:pPr>
            <w:r>
              <w:rPr>
                <w:rFonts w:ascii="Arial" w:hAnsi="Arial" w:cs="Arial"/>
                <w:sz w:val="20"/>
                <w:szCs w:val="20"/>
                <w:lang w:eastAsia="en-CA"/>
              </w:rPr>
              <w:t>Seasonal</w:t>
            </w:r>
          </w:p>
        </w:tc>
      </w:tr>
    </w:tbl>
    <w:p w14:paraId="05866401" w14:textId="77777777" w:rsidR="009A7531" w:rsidRDefault="009A7531" w:rsidP="00661EBA">
      <w:pPr>
        <w:rPr>
          <w:b/>
          <w:bCs/>
          <w:lang w:val="en-US" w:eastAsia="en-CA"/>
        </w:rPr>
      </w:pPr>
    </w:p>
    <w:p w14:paraId="366AF58D" w14:textId="5C1F3E62" w:rsidR="00661EBA" w:rsidRPr="0042611D" w:rsidRDefault="0081637E" w:rsidP="00661EBA">
      <w:pPr>
        <w:rPr>
          <w:lang w:val="en-US" w:eastAsia="en-CA"/>
        </w:rPr>
      </w:pPr>
      <w:r>
        <w:rPr>
          <w:b/>
          <w:bCs/>
          <w:lang w:val="en-US" w:eastAsia="en-CA"/>
        </w:rPr>
        <w:br w:type="column"/>
      </w:r>
      <w:bookmarkStart w:id="0" w:name="OLE_LINK5"/>
      <w:bookmarkStart w:id="1" w:name="OLE_LINK6"/>
      <w:r w:rsidR="0042611D" w:rsidRPr="00ED47E1">
        <w:rPr>
          <w:b/>
          <w:bCs/>
          <w:lang w:val="en-US" w:eastAsia="en-CA"/>
        </w:rPr>
        <w:lastRenderedPageBreak/>
        <w:t xml:space="preserve">Table </w:t>
      </w:r>
      <w:r w:rsidR="0042611D">
        <w:rPr>
          <w:b/>
          <w:bCs/>
          <w:lang w:val="en-US" w:eastAsia="en-CA"/>
        </w:rPr>
        <w:t>S2</w:t>
      </w:r>
      <w:r w:rsidR="0042611D" w:rsidRPr="00ED47E1">
        <w:rPr>
          <w:b/>
          <w:bCs/>
          <w:lang w:val="en-US" w:eastAsia="en-CA"/>
        </w:rPr>
        <w:t xml:space="preserve">. </w:t>
      </w:r>
      <w:r w:rsidR="0042611D" w:rsidRPr="0042611D">
        <w:rPr>
          <w:lang w:val="en-US" w:eastAsia="en-CA"/>
        </w:rPr>
        <w:t>Summary statistics (mean ± SE) of the proportion of lake-derived carbon and trophic position of golden and common shiners across seasons and capture locations, derived from stable isotope analysis of liver tissues.</w:t>
      </w:r>
    </w:p>
    <w:tbl>
      <w:tblPr>
        <w:tblStyle w:val="TableGrid"/>
        <w:tblW w:w="0" w:type="auto"/>
        <w:tblLook w:val="04A0" w:firstRow="1" w:lastRow="0" w:firstColumn="1" w:lastColumn="0" w:noHBand="0" w:noVBand="1"/>
      </w:tblPr>
      <w:tblGrid>
        <w:gridCol w:w="1846"/>
        <w:gridCol w:w="1846"/>
        <w:gridCol w:w="1846"/>
        <w:gridCol w:w="1900"/>
        <w:gridCol w:w="1900"/>
      </w:tblGrid>
      <w:tr w:rsidR="00661EBA" w:rsidRPr="009A7531" w14:paraId="0F21F1BC" w14:textId="77777777" w:rsidTr="00661EBA">
        <w:trPr>
          <w:trHeight w:val="291"/>
        </w:trPr>
        <w:tc>
          <w:tcPr>
            <w:tcW w:w="1846" w:type="dxa"/>
            <w:noWrap/>
            <w:hideMark/>
          </w:tcPr>
          <w:p w14:paraId="696BD1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46" w:type="dxa"/>
            <w:noWrap/>
            <w:hideMark/>
          </w:tcPr>
          <w:p w14:paraId="68638729" w14:textId="6189CBAF"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r w:rsidR="0042611D">
              <w:rPr>
                <w:rFonts w:ascii="Arial" w:hAnsi="Arial" w:cs="Arial"/>
                <w:b/>
                <w:bCs/>
                <w:sz w:val="20"/>
                <w:szCs w:val="20"/>
                <w:lang w:eastAsia="en-CA"/>
              </w:rPr>
              <w:t xml:space="preserve"> of capture</w:t>
            </w:r>
          </w:p>
        </w:tc>
        <w:tc>
          <w:tcPr>
            <w:tcW w:w="1846" w:type="dxa"/>
            <w:noWrap/>
            <w:hideMark/>
          </w:tcPr>
          <w:p w14:paraId="4D452F32"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900" w:type="dxa"/>
            <w:noWrap/>
            <w:hideMark/>
          </w:tcPr>
          <w:p w14:paraId="7230824E"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Carbon (mean ± SE)</w:t>
            </w:r>
          </w:p>
        </w:tc>
        <w:tc>
          <w:tcPr>
            <w:tcW w:w="1900" w:type="dxa"/>
            <w:noWrap/>
            <w:hideMark/>
          </w:tcPr>
          <w:p w14:paraId="4A03CED1"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Trophic Position (mean ± SE)</w:t>
            </w:r>
          </w:p>
        </w:tc>
      </w:tr>
      <w:tr w:rsidR="00661EBA" w:rsidRPr="009A7531" w14:paraId="7F0FD354" w14:textId="77777777" w:rsidTr="00661EBA">
        <w:trPr>
          <w:trHeight w:val="291"/>
        </w:trPr>
        <w:tc>
          <w:tcPr>
            <w:tcW w:w="1846" w:type="dxa"/>
            <w:noWrap/>
            <w:hideMark/>
          </w:tcPr>
          <w:p w14:paraId="2443698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49351F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5F9590A"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77</w:t>
            </w:r>
          </w:p>
        </w:tc>
        <w:tc>
          <w:tcPr>
            <w:tcW w:w="1900" w:type="dxa"/>
            <w:noWrap/>
            <w:hideMark/>
          </w:tcPr>
          <w:p w14:paraId="19D992C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0.493 ± 0.022</w:t>
            </w:r>
          </w:p>
        </w:tc>
        <w:tc>
          <w:tcPr>
            <w:tcW w:w="1900" w:type="dxa"/>
            <w:noWrap/>
            <w:hideMark/>
          </w:tcPr>
          <w:p w14:paraId="4ADF99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3.026 ± 0.024</w:t>
            </w:r>
          </w:p>
        </w:tc>
      </w:tr>
      <w:tr w:rsidR="00661EBA" w:rsidRPr="009A7531" w14:paraId="73F47553" w14:textId="77777777" w:rsidTr="00661EBA">
        <w:trPr>
          <w:trHeight w:val="291"/>
        </w:trPr>
        <w:tc>
          <w:tcPr>
            <w:tcW w:w="1846" w:type="dxa"/>
            <w:noWrap/>
            <w:hideMark/>
          </w:tcPr>
          <w:p w14:paraId="1D2B40F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1F6727F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5374A3A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49</w:t>
            </w:r>
          </w:p>
        </w:tc>
        <w:tc>
          <w:tcPr>
            <w:tcW w:w="1900" w:type="dxa"/>
            <w:noWrap/>
            <w:hideMark/>
          </w:tcPr>
          <w:p w14:paraId="3CB6A8E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0.582 ± 0.025</w:t>
            </w:r>
          </w:p>
        </w:tc>
        <w:tc>
          <w:tcPr>
            <w:tcW w:w="1900" w:type="dxa"/>
            <w:noWrap/>
            <w:hideMark/>
          </w:tcPr>
          <w:p w14:paraId="467AE6C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2.975 ± 0.026</w:t>
            </w:r>
          </w:p>
        </w:tc>
      </w:tr>
      <w:tr w:rsidR="00661EBA" w:rsidRPr="009A7531" w14:paraId="0B9B4F97" w14:textId="77777777" w:rsidTr="00661EBA">
        <w:trPr>
          <w:trHeight w:val="291"/>
        </w:trPr>
        <w:tc>
          <w:tcPr>
            <w:tcW w:w="1846" w:type="dxa"/>
            <w:noWrap/>
            <w:hideMark/>
          </w:tcPr>
          <w:p w14:paraId="0445D5D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062A113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6E26E7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35</w:t>
            </w:r>
          </w:p>
        </w:tc>
        <w:tc>
          <w:tcPr>
            <w:tcW w:w="1900" w:type="dxa"/>
            <w:noWrap/>
            <w:hideMark/>
          </w:tcPr>
          <w:p w14:paraId="07B40F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0.335 ± 0.026</w:t>
            </w:r>
          </w:p>
        </w:tc>
        <w:tc>
          <w:tcPr>
            <w:tcW w:w="1900" w:type="dxa"/>
            <w:noWrap/>
            <w:hideMark/>
          </w:tcPr>
          <w:p w14:paraId="21D5369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3.113 ± 0.031</w:t>
            </w:r>
          </w:p>
        </w:tc>
      </w:tr>
      <w:tr w:rsidR="00661EBA" w:rsidRPr="009A7531" w14:paraId="610D7310" w14:textId="77777777" w:rsidTr="00661EBA">
        <w:trPr>
          <w:trHeight w:val="291"/>
        </w:trPr>
        <w:tc>
          <w:tcPr>
            <w:tcW w:w="1846" w:type="dxa"/>
            <w:noWrap/>
            <w:hideMark/>
          </w:tcPr>
          <w:p w14:paraId="6049117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6E2F281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2221E6D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w:t>
            </w:r>
          </w:p>
        </w:tc>
        <w:tc>
          <w:tcPr>
            <w:tcW w:w="1900" w:type="dxa"/>
            <w:noWrap/>
            <w:hideMark/>
          </w:tcPr>
          <w:p w14:paraId="09A213A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0.895 ± 0.071</w:t>
            </w:r>
          </w:p>
        </w:tc>
        <w:tc>
          <w:tcPr>
            <w:tcW w:w="1900" w:type="dxa"/>
            <w:noWrap/>
            <w:hideMark/>
          </w:tcPr>
          <w:p w14:paraId="29D810E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2.55 ± 0.126</w:t>
            </w:r>
          </w:p>
        </w:tc>
      </w:tr>
      <w:tr w:rsidR="00661EBA" w:rsidRPr="009A7531" w14:paraId="35108378" w14:textId="77777777" w:rsidTr="00661EBA">
        <w:trPr>
          <w:trHeight w:val="291"/>
        </w:trPr>
        <w:tc>
          <w:tcPr>
            <w:tcW w:w="1846" w:type="dxa"/>
            <w:noWrap/>
            <w:hideMark/>
          </w:tcPr>
          <w:p w14:paraId="5C042466"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25F5330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4AB24796"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61</w:t>
            </w:r>
          </w:p>
        </w:tc>
        <w:tc>
          <w:tcPr>
            <w:tcW w:w="1900" w:type="dxa"/>
            <w:noWrap/>
            <w:hideMark/>
          </w:tcPr>
          <w:p w14:paraId="3471355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0.479 ± 0.027</w:t>
            </w:r>
          </w:p>
        </w:tc>
        <w:tc>
          <w:tcPr>
            <w:tcW w:w="1900" w:type="dxa"/>
            <w:noWrap/>
            <w:hideMark/>
          </w:tcPr>
          <w:p w14:paraId="7618EB8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3.052 ± 0.031</w:t>
            </w:r>
          </w:p>
        </w:tc>
      </w:tr>
      <w:tr w:rsidR="00661EBA" w:rsidRPr="009A7531" w14:paraId="4E425C59" w14:textId="77777777" w:rsidTr="00661EBA">
        <w:trPr>
          <w:trHeight w:val="291"/>
        </w:trPr>
        <w:tc>
          <w:tcPr>
            <w:tcW w:w="1846" w:type="dxa"/>
            <w:noWrap/>
            <w:hideMark/>
          </w:tcPr>
          <w:p w14:paraId="55905BF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1E244C7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7195A31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900" w:type="dxa"/>
            <w:noWrap/>
            <w:hideMark/>
          </w:tcPr>
          <w:p w14:paraId="149E25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0.851 ± 0.042</w:t>
            </w:r>
          </w:p>
        </w:tc>
        <w:tc>
          <w:tcPr>
            <w:tcW w:w="1900" w:type="dxa"/>
            <w:noWrap/>
            <w:hideMark/>
          </w:tcPr>
          <w:p w14:paraId="1204692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2.74 ± 0.054</w:t>
            </w:r>
          </w:p>
        </w:tc>
      </w:tr>
    </w:tbl>
    <w:p w14:paraId="7C0C346C" w14:textId="77777777" w:rsidR="00661EBA" w:rsidRPr="009A7531" w:rsidRDefault="00661EBA" w:rsidP="00661EBA">
      <w:pPr>
        <w:rPr>
          <w:rFonts w:ascii="Arial" w:hAnsi="Arial" w:cs="Arial"/>
          <w:b/>
          <w:bCs/>
          <w:sz w:val="20"/>
          <w:szCs w:val="20"/>
          <w:lang w:val="en-US" w:eastAsia="en-CA"/>
        </w:rPr>
      </w:pPr>
    </w:p>
    <w:p w14:paraId="6178324D" w14:textId="370D3C20" w:rsidR="00661EBA" w:rsidRPr="0042611D" w:rsidRDefault="0042611D" w:rsidP="00661EBA">
      <w:pPr>
        <w:rPr>
          <w:lang w:val="en-US" w:eastAsia="en-CA"/>
        </w:rPr>
      </w:pPr>
      <w:r w:rsidRPr="00ED47E1">
        <w:rPr>
          <w:b/>
          <w:bCs/>
          <w:lang w:val="en-US" w:eastAsia="en-CA"/>
        </w:rPr>
        <w:t xml:space="preserve">Table </w:t>
      </w:r>
      <w:r>
        <w:rPr>
          <w:b/>
          <w:bCs/>
          <w:lang w:val="en-US" w:eastAsia="en-CA"/>
        </w:rPr>
        <w:t>S</w:t>
      </w:r>
      <w:r>
        <w:rPr>
          <w:b/>
          <w:bCs/>
          <w:lang w:val="en-US" w:eastAsia="en-CA"/>
        </w:rPr>
        <w:t>3</w:t>
      </w:r>
      <w:r w:rsidRPr="00ED47E1">
        <w:rPr>
          <w:b/>
          <w:bCs/>
          <w:lang w:val="en-US" w:eastAsia="en-CA"/>
        </w:rPr>
        <w:t xml:space="preserve">. </w:t>
      </w:r>
      <w:r w:rsidRPr="0042611D">
        <w:rPr>
          <w:lang w:val="en-US" w:eastAsia="en-CA"/>
        </w:rPr>
        <w:t xml:space="preserve">Summary statistics (mean ± SE) of lake residency (proportion of minutes assigned to the lake </w:t>
      </w:r>
      <w:r>
        <w:rPr>
          <w:lang w:val="en-US" w:eastAsia="en-CA"/>
        </w:rPr>
        <w:t xml:space="preserve">habitat </w:t>
      </w:r>
      <w:r w:rsidRPr="0042611D">
        <w:rPr>
          <w:lang w:val="en-US" w:eastAsia="en-CA"/>
        </w:rPr>
        <w:t>within each season) and habitat recurrence (number of discrete return events to the release habitat) for tagged golden shiners released in lake and creek habitats.</w:t>
      </w:r>
    </w:p>
    <w:tbl>
      <w:tblPr>
        <w:tblStyle w:val="TableGrid"/>
        <w:tblW w:w="9353" w:type="dxa"/>
        <w:tblLook w:val="04A0" w:firstRow="1" w:lastRow="0" w:firstColumn="1" w:lastColumn="0" w:noHBand="0" w:noVBand="1"/>
      </w:tblPr>
      <w:tblGrid>
        <w:gridCol w:w="1831"/>
        <w:gridCol w:w="1831"/>
        <w:gridCol w:w="1831"/>
        <w:gridCol w:w="1885"/>
        <w:gridCol w:w="1975"/>
      </w:tblGrid>
      <w:tr w:rsidR="00661EBA" w:rsidRPr="009A7531" w14:paraId="09FD2A83" w14:textId="77777777" w:rsidTr="00661EBA">
        <w:trPr>
          <w:trHeight w:val="221"/>
        </w:trPr>
        <w:tc>
          <w:tcPr>
            <w:tcW w:w="1831" w:type="dxa"/>
            <w:noWrap/>
            <w:hideMark/>
          </w:tcPr>
          <w:p w14:paraId="60C79FCD"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31" w:type="dxa"/>
            <w:noWrap/>
            <w:hideMark/>
          </w:tcPr>
          <w:p w14:paraId="654A698A" w14:textId="16496255"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r w:rsidR="0042611D">
              <w:rPr>
                <w:rFonts w:ascii="Arial" w:hAnsi="Arial" w:cs="Arial"/>
                <w:b/>
                <w:bCs/>
                <w:sz w:val="20"/>
                <w:szCs w:val="20"/>
                <w:lang w:eastAsia="en-CA"/>
              </w:rPr>
              <w:t xml:space="preserve"> of release</w:t>
            </w:r>
          </w:p>
        </w:tc>
        <w:tc>
          <w:tcPr>
            <w:tcW w:w="1831" w:type="dxa"/>
            <w:noWrap/>
            <w:hideMark/>
          </w:tcPr>
          <w:p w14:paraId="72BFCCD0"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885" w:type="dxa"/>
            <w:noWrap/>
            <w:hideMark/>
          </w:tcPr>
          <w:p w14:paraId="4321472A"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Residency (mean ± SE)</w:t>
            </w:r>
          </w:p>
        </w:tc>
        <w:tc>
          <w:tcPr>
            <w:tcW w:w="1975" w:type="dxa"/>
            <w:noWrap/>
            <w:hideMark/>
          </w:tcPr>
          <w:p w14:paraId="6EB3FC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Recurrence (mean ± SE)</w:t>
            </w:r>
          </w:p>
        </w:tc>
      </w:tr>
      <w:tr w:rsidR="00661EBA" w:rsidRPr="009A7531" w14:paraId="71D2C53A" w14:textId="77777777" w:rsidTr="00661EBA">
        <w:trPr>
          <w:trHeight w:val="221"/>
        </w:trPr>
        <w:tc>
          <w:tcPr>
            <w:tcW w:w="1831" w:type="dxa"/>
            <w:noWrap/>
            <w:hideMark/>
          </w:tcPr>
          <w:p w14:paraId="5054AAB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5B2556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42861593"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12</w:t>
            </w:r>
          </w:p>
        </w:tc>
        <w:tc>
          <w:tcPr>
            <w:tcW w:w="1885" w:type="dxa"/>
            <w:noWrap/>
            <w:hideMark/>
          </w:tcPr>
          <w:p w14:paraId="2CF68C0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0.665 ± 0.107</w:t>
            </w:r>
          </w:p>
        </w:tc>
        <w:tc>
          <w:tcPr>
            <w:tcW w:w="1975" w:type="dxa"/>
            <w:noWrap/>
            <w:hideMark/>
          </w:tcPr>
          <w:p w14:paraId="0967E54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11.33 ± 8.24</w:t>
            </w:r>
          </w:p>
        </w:tc>
      </w:tr>
      <w:tr w:rsidR="00661EBA" w:rsidRPr="009A7531" w14:paraId="7AAF6C4C" w14:textId="77777777" w:rsidTr="00661EBA">
        <w:trPr>
          <w:trHeight w:val="221"/>
        </w:trPr>
        <w:tc>
          <w:tcPr>
            <w:tcW w:w="1831" w:type="dxa"/>
            <w:noWrap/>
            <w:hideMark/>
          </w:tcPr>
          <w:p w14:paraId="3DE5416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1F09CAB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5B32D0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55D2DE6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0.783 ± 0.182</w:t>
            </w:r>
          </w:p>
        </w:tc>
        <w:tc>
          <w:tcPr>
            <w:tcW w:w="1975" w:type="dxa"/>
            <w:noWrap/>
            <w:hideMark/>
          </w:tcPr>
          <w:p w14:paraId="15ABCBA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6.25 ± 1.31</w:t>
            </w:r>
          </w:p>
        </w:tc>
      </w:tr>
      <w:tr w:rsidR="00661EBA" w:rsidRPr="009A7531" w14:paraId="66E3A289" w14:textId="77777777" w:rsidTr="00661EBA">
        <w:trPr>
          <w:trHeight w:val="221"/>
        </w:trPr>
        <w:tc>
          <w:tcPr>
            <w:tcW w:w="1831" w:type="dxa"/>
            <w:noWrap/>
            <w:hideMark/>
          </w:tcPr>
          <w:p w14:paraId="36DAA22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7C8ADC3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762F69C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885" w:type="dxa"/>
            <w:noWrap/>
            <w:hideMark/>
          </w:tcPr>
          <w:p w14:paraId="13FA90F4"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0.611 ± 0.104</w:t>
            </w:r>
          </w:p>
        </w:tc>
        <w:tc>
          <w:tcPr>
            <w:tcW w:w="1975" w:type="dxa"/>
            <w:noWrap/>
            <w:hideMark/>
          </w:tcPr>
          <w:p w14:paraId="0E978C0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1.14 ± 0.4</w:t>
            </w:r>
          </w:p>
        </w:tc>
      </w:tr>
      <w:tr w:rsidR="00661EBA" w:rsidRPr="009A7531" w14:paraId="0577A240" w14:textId="77777777" w:rsidTr="00661EBA">
        <w:trPr>
          <w:trHeight w:val="221"/>
        </w:trPr>
        <w:tc>
          <w:tcPr>
            <w:tcW w:w="1831" w:type="dxa"/>
            <w:noWrap/>
            <w:hideMark/>
          </w:tcPr>
          <w:p w14:paraId="45DF523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2362BA4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1D917157"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w:t>
            </w:r>
          </w:p>
        </w:tc>
        <w:tc>
          <w:tcPr>
            <w:tcW w:w="1885" w:type="dxa"/>
            <w:noWrap/>
            <w:hideMark/>
          </w:tcPr>
          <w:p w14:paraId="6FB5E2E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0.967 ± 0.033</w:t>
            </w:r>
          </w:p>
        </w:tc>
        <w:tc>
          <w:tcPr>
            <w:tcW w:w="1975" w:type="dxa"/>
            <w:noWrap/>
            <w:hideMark/>
          </w:tcPr>
          <w:p w14:paraId="2FCDCE7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0.14 ± 0.14</w:t>
            </w:r>
          </w:p>
        </w:tc>
      </w:tr>
      <w:tr w:rsidR="00661EBA" w:rsidRPr="009A7531" w14:paraId="595F72DE" w14:textId="77777777" w:rsidTr="00661EBA">
        <w:trPr>
          <w:trHeight w:val="221"/>
        </w:trPr>
        <w:tc>
          <w:tcPr>
            <w:tcW w:w="1831" w:type="dxa"/>
            <w:noWrap/>
            <w:hideMark/>
          </w:tcPr>
          <w:p w14:paraId="599828F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3D699DD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17DA48AF"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11</w:t>
            </w:r>
          </w:p>
        </w:tc>
        <w:tc>
          <w:tcPr>
            <w:tcW w:w="1885" w:type="dxa"/>
            <w:noWrap/>
            <w:hideMark/>
          </w:tcPr>
          <w:p w14:paraId="2C231EC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0.69 ± 0.081</w:t>
            </w:r>
          </w:p>
        </w:tc>
        <w:tc>
          <w:tcPr>
            <w:tcW w:w="1975" w:type="dxa"/>
            <w:noWrap/>
            <w:hideMark/>
          </w:tcPr>
          <w:p w14:paraId="5A61149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8.82 ± 2.37</w:t>
            </w:r>
          </w:p>
        </w:tc>
      </w:tr>
      <w:tr w:rsidR="00661EBA" w:rsidRPr="009A7531" w14:paraId="0D8FAB52" w14:textId="77777777" w:rsidTr="00661EBA">
        <w:trPr>
          <w:trHeight w:val="221"/>
        </w:trPr>
        <w:tc>
          <w:tcPr>
            <w:tcW w:w="1831" w:type="dxa"/>
            <w:noWrap/>
            <w:hideMark/>
          </w:tcPr>
          <w:p w14:paraId="3DC6873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043E174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D0FF7E0"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48A53A98"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0.754 ± 0.151</w:t>
            </w:r>
          </w:p>
        </w:tc>
        <w:tc>
          <w:tcPr>
            <w:tcW w:w="1975" w:type="dxa"/>
            <w:noWrap/>
            <w:hideMark/>
          </w:tcPr>
          <w:p w14:paraId="05C5BA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1.75 ± 1.44</w:t>
            </w:r>
          </w:p>
        </w:tc>
      </w:tr>
      <w:bookmarkEnd w:id="0"/>
      <w:bookmarkEnd w:id="1"/>
    </w:tbl>
    <w:p w14:paraId="2436F3E9" w14:textId="77777777" w:rsidR="00661EBA" w:rsidRPr="00661EBA" w:rsidRDefault="00661EBA" w:rsidP="00661EBA">
      <w:pPr>
        <w:rPr>
          <w:b/>
          <w:bCs/>
          <w:lang w:val="en-US" w:eastAsia="en-CA"/>
        </w:rPr>
      </w:pPr>
    </w:p>
    <w:p w14:paraId="3DDEBA3A" w14:textId="357E38DB" w:rsidR="003F488B" w:rsidRPr="00661EBA" w:rsidRDefault="00661EBA" w:rsidP="003F488B">
      <w:pPr>
        <w:rPr>
          <w:b/>
          <w:bCs/>
          <w:lang w:val="en-US" w:eastAsia="en-CA"/>
        </w:rPr>
      </w:pPr>
      <w:r>
        <w:rPr>
          <w:b/>
          <w:bCs/>
          <w:lang w:val="en-US" w:eastAsia="en-CA"/>
        </w:rPr>
        <w:br w:type="column"/>
      </w:r>
      <w:r w:rsidRPr="00661EBA">
        <w:rPr>
          <w:b/>
          <w:bCs/>
          <w:lang w:val="en-US" w:eastAsia="en-CA"/>
        </w:rPr>
        <w:lastRenderedPageBreak/>
        <w:t>Figures</w:t>
      </w:r>
    </w:p>
    <w:p w14:paraId="249B14F8" w14:textId="0AAC51C3" w:rsidR="003F488B" w:rsidRPr="00100FBD" w:rsidRDefault="00A21548" w:rsidP="003F488B">
      <w:pPr>
        <w:rPr>
          <w:lang w:val="en-US" w:eastAsia="en-CA"/>
        </w:rPr>
      </w:pPr>
      <w:r>
        <w:rPr>
          <w:noProof/>
          <w:lang w:val="en-US" w:eastAsia="en-CA"/>
          <w14:ligatures w14:val="standardContextual"/>
        </w:rPr>
        <w:drawing>
          <wp:inline distT="0" distB="0" distL="0" distR="0" wp14:anchorId="0FC95CB1" wp14:editId="7D31F9C0">
            <wp:extent cx="5052291" cy="3076055"/>
            <wp:effectExtent l="0" t="0" r="2540" b="0"/>
            <wp:docPr id="187364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43320" name="Picture 1873643320"/>
                    <pic:cNvPicPr/>
                  </pic:nvPicPr>
                  <pic:blipFill>
                    <a:blip r:embed="rId4">
                      <a:extLst>
                        <a:ext uri="{28A0092B-C50C-407E-A947-70E740481C1C}">
                          <a14:useLocalDpi xmlns:a14="http://schemas.microsoft.com/office/drawing/2010/main" val="0"/>
                        </a:ext>
                      </a:extLst>
                    </a:blip>
                    <a:stretch>
                      <a:fillRect/>
                    </a:stretch>
                  </pic:blipFill>
                  <pic:spPr>
                    <a:xfrm>
                      <a:off x="0" y="0"/>
                      <a:ext cx="5082427" cy="3094403"/>
                    </a:xfrm>
                    <a:prstGeom prst="rect">
                      <a:avLst/>
                    </a:prstGeom>
                  </pic:spPr>
                </pic:pic>
              </a:graphicData>
            </a:graphic>
          </wp:inline>
        </w:drawing>
      </w:r>
    </w:p>
    <w:p w14:paraId="6C803606" w14:textId="77C191BF" w:rsidR="003F488B" w:rsidRPr="00100FBD" w:rsidRDefault="003F488B" w:rsidP="003F488B">
      <w:r w:rsidRPr="00100FBD">
        <w:rPr>
          <w:noProof/>
        </w:rPr>
        <w:t xml:space="preserve"> </w:t>
      </w:r>
    </w:p>
    <w:p w14:paraId="0DA56C69" w14:textId="688445FF" w:rsidR="003F488B" w:rsidRPr="00100FBD" w:rsidRDefault="003F488B" w:rsidP="003F488B">
      <w:pPr>
        <w:rPr>
          <w:b/>
          <w:bCs/>
          <w:lang w:val="en-US" w:eastAsia="en-CA"/>
        </w:rPr>
      </w:pPr>
      <w:r w:rsidRPr="00100FBD">
        <w:rPr>
          <w:b/>
          <w:bCs/>
        </w:rPr>
        <w:t xml:space="preserve">Figure </w:t>
      </w:r>
      <w:r w:rsidR="00661EBA">
        <w:rPr>
          <w:b/>
          <w:bCs/>
        </w:rPr>
        <w:t>S</w:t>
      </w:r>
      <w:r w:rsidRPr="00100FBD">
        <w:rPr>
          <w:b/>
          <w:bCs/>
        </w:rPr>
        <w:t xml:space="preserve">1. </w:t>
      </w:r>
      <w:r w:rsidRPr="00100FBD">
        <w:t>Biplot of δ¹³C and δ¹⁵N stable isotope values from shiner liver tissue (</w:t>
      </w:r>
      <w:r w:rsidRPr="00100FBD">
        <w:rPr>
          <w:i/>
          <w:iCs/>
        </w:rPr>
        <w:t>n</w:t>
      </w:r>
      <w:r w:rsidRPr="00100FBD">
        <w:t xml:space="preserve"> = 25</w:t>
      </w:r>
      <w:r w:rsidR="00A21548">
        <w:t>2</w:t>
      </w:r>
      <w:r w:rsidRPr="00100FBD">
        <w:t xml:space="preserve">). Each point represents an individual shiner liver sample, coloured by the location in which the fish was captured (lake = </w:t>
      </w:r>
      <w:r w:rsidR="00A21548">
        <w:t>blue</w:t>
      </w:r>
      <w:r w:rsidRPr="00100FBD">
        <w:t xml:space="preserve">, creek = </w:t>
      </w:r>
      <w:r w:rsidR="00A21548">
        <w:t>pink</w:t>
      </w:r>
      <w:r w:rsidRPr="00100FBD">
        <w:t>). Baseline values are shown as mean ± SD for mayflies and mussels collected in each habitat across the study period.</w:t>
      </w:r>
    </w:p>
    <w:p w14:paraId="1E3C9EBC" w14:textId="77777777" w:rsidR="003F488B" w:rsidRPr="00100FBD" w:rsidRDefault="003F488B" w:rsidP="003F488B"/>
    <w:p w14:paraId="16A25AAE" w14:textId="77777777" w:rsidR="003F488B" w:rsidRPr="00100FBD" w:rsidRDefault="003F488B" w:rsidP="003F488B"/>
    <w:p w14:paraId="6D7D8A84" w14:textId="795AAFF1" w:rsidR="003F488B" w:rsidRPr="00100FBD" w:rsidRDefault="00100FBD" w:rsidP="003F488B">
      <w:r w:rsidRPr="00100FBD">
        <w:rPr>
          <w:noProof/>
          <w14:ligatures w14:val="standardContextual"/>
        </w:rPr>
        <w:lastRenderedPageBreak/>
        <w:drawing>
          <wp:inline distT="0" distB="0" distL="0" distR="0" wp14:anchorId="271CB5B3" wp14:editId="32F5754B">
            <wp:extent cx="4174836" cy="4488965"/>
            <wp:effectExtent l="0" t="0" r="3810" b="0"/>
            <wp:docPr id="945517270"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17270" name="Picture 2" descr="A screenshot of a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17012" cy="4534315"/>
                    </a:xfrm>
                    <a:prstGeom prst="rect">
                      <a:avLst/>
                    </a:prstGeom>
                  </pic:spPr>
                </pic:pic>
              </a:graphicData>
            </a:graphic>
          </wp:inline>
        </w:drawing>
      </w:r>
    </w:p>
    <w:p w14:paraId="64E236E1" w14:textId="77777777" w:rsidR="00100FBD" w:rsidRDefault="00100FBD" w:rsidP="003F488B">
      <w:pPr>
        <w:rPr>
          <w:b/>
          <w:bCs/>
        </w:rPr>
      </w:pPr>
    </w:p>
    <w:p w14:paraId="1355CF00" w14:textId="07839933" w:rsidR="003F488B" w:rsidRPr="00100FBD" w:rsidRDefault="003F488B" w:rsidP="00100FBD">
      <w:r w:rsidRPr="00100FBD">
        <w:rPr>
          <w:noProof/>
        </w:rPr>
        <mc:AlternateContent>
          <mc:Choice Requires="wps">
            <w:drawing>
              <wp:anchor distT="0" distB="0" distL="114300" distR="114300" simplePos="0" relativeHeight="251660288" behindDoc="0" locked="0" layoutInCell="1" allowOverlap="1" wp14:anchorId="68A659D5" wp14:editId="50D139D6">
                <wp:simplePos x="0" y="0"/>
                <wp:positionH relativeFrom="column">
                  <wp:posOffset>1398501</wp:posOffset>
                </wp:positionH>
                <wp:positionV relativeFrom="paragraph">
                  <wp:posOffset>2106295</wp:posOffset>
                </wp:positionV>
                <wp:extent cx="538385" cy="780736"/>
                <wp:effectExtent l="0" t="0" r="8255" b="6985"/>
                <wp:wrapNone/>
                <wp:docPr id="528106769" name="Rectangle 2"/>
                <wp:cNvGraphicFramePr/>
                <a:graphic xmlns:a="http://schemas.openxmlformats.org/drawingml/2006/main">
                  <a:graphicData uri="http://schemas.microsoft.com/office/word/2010/wordprocessingShape">
                    <wps:wsp>
                      <wps:cNvSpPr/>
                      <wps:spPr>
                        <a:xfrm>
                          <a:off x="0" y="0"/>
                          <a:ext cx="538385" cy="78073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6A7186" id="Rectangle 2" o:spid="_x0000_s1026" style="position:absolute;margin-left:110.1pt;margin-top:165.85pt;width:42.4pt;height: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" fillcolor="white [3212]" strokecolor="white [3212]" strokeweight="1pt"/>
            </w:pict>
          </mc:Fallback>
        </mc:AlternateContent>
      </w:r>
      <w:r w:rsidRPr="00100FBD">
        <w:rPr>
          <w:b/>
          <w:bCs/>
        </w:rPr>
        <w:t xml:space="preserve">Figure </w:t>
      </w:r>
      <w:r w:rsidR="00100FBD" w:rsidRPr="00100FBD">
        <w:rPr>
          <w:b/>
          <w:bCs/>
        </w:rPr>
        <w:t>S</w:t>
      </w:r>
      <w:r w:rsidRPr="00100FBD">
        <w:rPr>
          <w:b/>
          <w:bCs/>
        </w:rPr>
        <w:t>2.</w:t>
      </w:r>
      <w:r w:rsidR="00100FBD" w:rsidRPr="00100FBD">
        <w:t xml:space="preserve"> </w:t>
      </w:r>
      <w:r w:rsidR="00100FBD">
        <w:t>M</w:t>
      </w:r>
      <w:r w:rsidR="00100FBD" w:rsidRPr="00A95A92">
        <w:t xml:space="preserve">ean (±SE) proportion of lake-derived carbon </w:t>
      </w:r>
      <w:r w:rsidR="00100FBD">
        <w:t>(A) and trophic position (B) of</w:t>
      </w:r>
      <w:r w:rsidR="00100FBD" w:rsidRPr="00A95A92">
        <w:t xml:space="preserve"> fish captured </w:t>
      </w:r>
      <w:r w:rsidR="00100FBD">
        <w:t xml:space="preserve">in the creek </w:t>
      </w:r>
      <w:r w:rsidR="00100FBD" w:rsidRPr="00A95A92">
        <w:t>(</w:t>
      </w:r>
      <w:r w:rsidR="00100FBD">
        <w:t>pink</w:t>
      </w:r>
      <w:r w:rsidR="00100FBD" w:rsidRPr="00A95A92">
        <w:t>)</w:t>
      </w:r>
      <w:r w:rsidR="00100FBD">
        <w:t xml:space="preserve"> and lake (blue</w:t>
      </w:r>
      <w:r w:rsidR="00100FBD" w:rsidRPr="00A95A92">
        <w:t>)</w:t>
      </w:r>
      <w:r w:rsidR="00100FBD">
        <w:t xml:space="preserve"> across seasons</w:t>
      </w:r>
      <w:r w:rsidR="00100FBD">
        <w:t xml:space="preserve"> calculated from non-lipid corrected stable isotope data</w:t>
      </w:r>
      <w:r w:rsidR="00100FBD">
        <w:t xml:space="preserve">. </w:t>
      </w:r>
      <w:r w:rsidRPr="00100FBD">
        <w:rPr>
          <w:noProof/>
        </w:rPr>
        <w:br w:type="column"/>
      </w:r>
      <w:r w:rsidR="00E3425C">
        <w:rPr>
          <w:noProof/>
          <w14:ligatures w14:val="standardContextual"/>
        </w:rPr>
        <w:lastRenderedPageBreak/>
        <w:drawing>
          <wp:inline distT="0" distB="0" distL="0" distR="0" wp14:anchorId="5E98E908" wp14:editId="3ADD6ADA">
            <wp:extent cx="6114595" cy="4008582"/>
            <wp:effectExtent l="0" t="0" r="0" b="5080"/>
            <wp:docPr id="1431838031" name="Picture 8" descr="A group of graphs with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38031" name="Picture 8" descr="A group of graphs with different colored boxes&#10;&#10;Description automatically generated with medium confidence"/>
                    <pic:cNvPicPr/>
                  </pic:nvPicPr>
                  <pic:blipFill rotWithShape="1">
                    <a:blip r:embed="rId6">
                      <a:extLst>
                        <a:ext uri="{28A0092B-C50C-407E-A947-70E740481C1C}">
                          <a14:useLocalDpi xmlns:a14="http://schemas.microsoft.com/office/drawing/2010/main" val="0"/>
                        </a:ext>
                      </a:extLst>
                    </a:blip>
                    <a:srcRect r="11876"/>
                    <a:stretch/>
                  </pic:blipFill>
                  <pic:spPr bwMode="auto">
                    <a:xfrm>
                      <a:off x="0" y="0"/>
                      <a:ext cx="6151661" cy="4032882"/>
                    </a:xfrm>
                    <a:prstGeom prst="rect">
                      <a:avLst/>
                    </a:prstGeom>
                    <a:ln>
                      <a:noFill/>
                    </a:ln>
                    <a:extLst>
                      <a:ext uri="{53640926-AAD7-44D8-BBD7-CCE9431645EC}">
                        <a14:shadowObscured xmlns:a14="http://schemas.microsoft.com/office/drawing/2010/main"/>
                      </a:ext>
                    </a:extLst>
                  </pic:spPr>
                </pic:pic>
              </a:graphicData>
            </a:graphic>
          </wp:inline>
        </w:drawing>
      </w:r>
    </w:p>
    <w:p w14:paraId="48E59A7C" w14:textId="09E3F66B" w:rsidR="003F488B" w:rsidRPr="00100FBD" w:rsidRDefault="003F488B" w:rsidP="003F488B">
      <w:pPr>
        <w:jc w:val="both"/>
      </w:pPr>
    </w:p>
    <w:p w14:paraId="2B646E4D" w14:textId="3BDC9CF5" w:rsidR="003F488B" w:rsidRPr="00100FBD" w:rsidRDefault="003F488B" w:rsidP="003F488B">
      <w:pPr>
        <w:jc w:val="both"/>
      </w:pPr>
      <w:r w:rsidRPr="00100FBD">
        <w:rPr>
          <w:b/>
          <w:bCs/>
        </w:rPr>
        <w:t xml:space="preserve">Figure </w:t>
      </w:r>
      <w:r w:rsidR="00E3425C">
        <w:rPr>
          <w:b/>
          <w:bCs/>
        </w:rPr>
        <w:t>S</w:t>
      </w:r>
      <w:r w:rsidRPr="00100FBD">
        <w:rPr>
          <w:b/>
          <w:bCs/>
        </w:rPr>
        <w:t xml:space="preserve">3. </w:t>
      </w:r>
      <w:r w:rsidRPr="00100FBD">
        <w:t>Boxplots of total length (mm) for fish species captured in lake (</w:t>
      </w:r>
      <w:r w:rsidR="00E3425C">
        <w:t>blue</w:t>
      </w:r>
      <w:r w:rsidRPr="00100FBD">
        <w:t>) and creek (</w:t>
      </w:r>
      <w:r w:rsidR="00E3425C">
        <w:t>pink</w:t>
      </w:r>
      <w:r w:rsidRPr="00100FBD">
        <w:t>) habitats during seasonal netting surveys and angling across the study period. Each panel shows a different species. Asterisks denote significant differences in total length between habitats (*p &lt; 0.05, **p &lt; 0.01, ***p &lt; 0.001, ****p &lt; 0.0001).</w:t>
      </w:r>
    </w:p>
    <w:p w14:paraId="46E83EFD" w14:textId="77777777" w:rsidR="003F488B" w:rsidRPr="00100FBD" w:rsidRDefault="003F488B" w:rsidP="003F488B">
      <w:pPr>
        <w:jc w:val="both"/>
        <w:rPr>
          <w:b/>
          <w:bCs/>
        </w:rPr>
      </w:pPr>
    </w:p>
    <w:p w14:paraId="56C54088" w14:textId="77777777" w:rsidR="003F488B" w:rsidRPr="00100FBD" w:rsidRDefault="003F488B" w:rsidP="003F488B">
      <w:pPr>
        <w:jc w:val="both"/>
        <w:rPr>
          <w:b/>
          <w:bCs/>
        </w:rPr>
      </w:pPr>
    </w:p>
    <w:p w14:paraId="68498C54" w14:textId="152DC2AB" w:rsidR="003F488B" w:rsidRPr="00100FBD" w:rsidRDefault="00E3425C" w:rsidP="003F488B">
      <w:pPr>
        <w:jc w:val="both"/>
        <w:rPr>
          <w:b/>
          <w:bCs/>
        </w:rPr>
      </w:pPr>
      <w:r>
        <w:rPr>
          <w:b/>
          <w:bCs/>
          <w:noProof/>
          <w14:ligatures w14:val="standardContextual"/>
        </w:rPr>
        <w:lastRenderedPageBreak/>
        <w:drawing>
          <wp:inline distT="0" distB="0" distL="0" distR="0" wp14:anchorId="1791D5FE" wp14:editId="45766DCC">
            <wp:extent cx="5449455" cy="4017121"/>
            <wp:effectExtent l="0" t="0" r="0" b="0"/>
            <wp:docPr id="268172805" name="Picture 11" descr="A graph showing the number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72805" name="Picture 11" descr="A graph showing the number of different types of data&#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5475256" cy="4036141"/>
                    </a:xfrm>
                    <a:prstGeom prst="rect">
                      <a:avLst/>
                    </a:prstGeom>
                  </pic:spPr>
                </pic:pic>
              </a:graphicData>
            </a:graphic>
          </wp:inline>
        </w:drawing>
      </w:r>
    </w:p>
    <w:p w14:paraId="68995412" w14:textId="2EE0A1AE" w:rsidR="003F488B" w:rsidRPr="00100FBD" w:rsidRDefault="003F488B" w:rsidP="003F488B">
      <w:pPr>
        <w:jc w:val="both"/>
        <w:rPr>
          <w:b/>
          <w:bCs/>
        </w:rPr>
      </w:pPr>
      <w:r w:rsidRPr="00100FBD">
        <w:rPr>
          <w:noProof/>
        </w:rPr>
        <w:t xml:space="preserve"> </w:t>
      </w:r>
    </w:p>
    <w:p w14:paraId="5D3B2369" w14:textId="4613F0EF" w:rsidR="003F488B" w:rsidRPr="00100FBD" w:rsidRDefault="003F488B" w:rsidP="003F488B">
      <w:pPr>
        <w:jc w:val="both"/>
        <w:rPr>
          <w:b/>
          <w:bCs/>
        </w:rPr>
      </w:pPr>
      <w:r w:rsidRPr="00100FBD">
        <w:rPr>
          <w:b/>
          <w:bCs/>
        </w:rPr>
        <w:t xml:space="preserve">Figure </w:t>
      </w:r>
      <w:r w:rsidR="00E3425C">
        <w:rPr>
          <w:b/>
          <w:bCs/>
        </w:rPr>
        <w:t>S</w:t>
      </w:r>
      <w:r w:rsidRPr="00100FBD">
        <w:rPr>
          <w:b/>
          <w:bCs/>
        </w:rPr>
        <w:t xml:space="preserve">4. </w:t>
      </w:r>
      <w:r w:rsidRPr="00100FBD">
        <w:t>Biplot of mean (± SD) δ¹³C and δ¹⁵N stable isotope values from liver tissues of fish species captured in lake (orange) and creek (blue) habitats. Points represent species means, labelled with species abbreviations (BNM = bluntnose minnow, CC = creek chub, CS = common shiner, GS = golden shiner, NRD = northern redbelly dace, PD = pearl dace, SMB = smallmouth bass, YP = yellow perch). Baseline values are shown for mayflies and mussels collected in each habitat.</w:t>
      </w:r>
    </w:p>
    <w:p w14:paraId="40CA4A10" w14:textId="77777777" w:rsidR="003F488B" w:rsidRPr="00100FBD" w:rsidRDefault="003F488B" w:rsidP="003F488B">
      <w:pPr>
        <w:jc w:val="both"/>
        <w:rPr>
          <w:b/>
          <w:bCs/>
        </w:rPr>
      </w:pPr>
    </w:p>
    <w:p w14:paraId="2B881644" w14:textId="77777777" w:rsidR="003F488B" w:rsidRPr="00100FBD" w:rsidRDefault="003F488B" w:rsidP="003F488B">
      <w:pPr>
        <w:jc w:val="both"/>
        <w:rPr>
          <w:b/>
          <w:bCs/>
        </w:rPr>
      </w:pPr>
    </w:p>
    <w:p w14:paraId="1ECAE900" w14:textId="77777777" w:rsidR="003F488B" w:rsidRPr="00100FBD" w:rsidRDefault="003F488B" w:rsidP="003F488B">
      <w:pPr>
        <w:jc w:val="both"/>
        <w:rPr>
          <w:b/>
          <w:bCs/>
        </w:rPr>
      </w:pPr>
    </w:p>
    <w:p w14:paraId="6959649D" w14:textId="77777777" w:rsidR="003F488B" w:rsidRPr="00100FBD" w:rsidRDefault="003F488B" w:rsidP="003F488B">
      <w:pPr>
        <w:jc w:val="both"/>
        <w:rPr>
          <w:b/>
          <w:bCs/>
        </w:rPr>
      </w:pPr>
    </w:p>
    <w:p w14:paraId="2575BD0B" w14:textId="77777777" w:rsidR="003F488B" w:rsidRPr="00100FBD" w:rsidRDefault="003F488B" w:rsidP="003F488B">
      <w:pPr>
        <w:jc w:val="both"/>
        <w:rPr>
          <w:b/>
          <w:bCs/>
        </w:rPr>
      </w:pPr>
    </w:p>
    <w:p w14:paraId="30E218F4" w14:textId="77777777" w:rsidR="003F488B" w:rsidRPr="00100FBD" w:rsidRDefault="003F488B" w:rsidP="003F488B">
      <w:pPr>
        <w:jc w:val="both"/>
        <w:rPr>
          <w:b/>
          <w:bCs/>
        </w:rPr>
      </w:pPr>
    </w:p>
    <w:p w14:paraId="6CE406D4" w14:textId="77777777" w:rsidR="003F488B" w:rsidRPr="00100FBD" w:rsidRDefault="003F488B" w:rsidP="003F488B">
      <w:pPr>
        <w:jc w:val="both"/>
        <w:rPr>
          <w:b/>
          <w:bCs/>
        </w:rPr>
      </w:pPr>
    </w:p>
    <w:p w14:paraId="02E6EA15" w14:textId="77777777" w:rsidR="003F488B" w:rsidRPr="00100FBD" w:rsidRDefault="003F488B" w:rsidP="003F488B">
      <w:pPr>
        <w:jc w:val="both"/>
        <w:rPr>
          <w:b/>
          <w:bCs/>
        </w:rPr>
      </w:pPr>
    </w:p>
    <w:p w14:paraId="6FAECCDE" w14:textId="77777777" w:rsidR="003F488B" w:rsidRPr="00100FBD" w:rsidRDefault="003F488B" w:rsidP="003F488B">
      <w:pPr>
        <w:jc w:val="both"/>
        <w:rPr>
          <w:b/>
          <w:bCs/>
        </w:rPr>
      </w:pPr>
    </w:p>
    <w:p w14:paraId="1FF6450F" w14:textId="77777777" w:rsidR="003F488B" w:rsidRPr="00100FBD" w:rsidRDefault="003F488B" w:rsidP="003F488B">
      <w:pPr>
        <w:jc w:val="both"/>
        <w:rPr>
          <w:b/>
          <w:bCs/>
        </w:rPr>
      </w:pPr>
    </w:p>
    <w:p w14:paraId="45C403C6" w14:textId="77777777" w:rsidR="003F488B" w:rsidRPr="00100FBD" w:rsidRDefault="003F488B" w:rsidP="003F488B">
      <w:pPr>
        <w:jc w:val="both"/>
        <w:rPr>
          <w:b/>
          <w:bCs/>
        </w:rPr>
      </w:pPr>
    </w:p>
    <w:p w14:paraId="0BD1AD08" w14:textId="77777777" w:rsidR="003F488B" w:rsidRPr="00100FBD" w:rsidRDefault="003F488B" w:rsidP="003F488B">
      <w:pPr>
        <w:jc w:val="both"/>
        <w:rPr>
          <w:b/>
          <w:bCs/>
        </w:rPr>
      </w:pPr>
    </w:p>
    <w:p w14:paraId="05E7C72E" w14:textId="77777777" w:rsidR="003F488B" w:rsidRPr="00100FBD" w:rsidRDefault="003F488B" w:rsidP="003F488B">
      <w:pPr>
        <w:jc w:val="both"/>
        <w:rPr>
          <w:b/>
          <w:bCs/>
        </w:rPr>
      </w:pPr>
    </w:p>
    <w:p w14:paraId="27D0D6D3" w14:textId="77777777" w:rsidR="003F488B" w:rsidRPr="00100FBD" w:rsidRDefault="003F488B" w:rsidP="003F488B">
      <w:pPr>
        <w:jc w:val="both"/>
        <w:rPr>
          <w:b/>
          <w:bCs/>
        </w:rPr>
      </w:pPr>
    </w:p>
    <w:p w14:paraId="11CE2F74" w14:textId="77777777" w:rsidR="003F488B" w:rsidRPr="00100FBD" w:rsidRDefault="003F488B" w:rsidP="003F488B">
      <w:pPr>
        <w:jc w:val="both"/>
        <w:rPr>
          <w:b/>
          <w:bCs/>
        </w:rPr>
      </w:pPr>
    </w:p>
    <w:p w14:paraId="2DFF1D9A" w14:textId="77777777" w:rsidR="003F488B" w:rsidRPr="00100FBD" w:rsidRDefault="003F488B" w:rsidP="003F488B">
      <w:pPr>
        <w:jc w:val="both"/>
        <w:rPr>
          <w:b/>
          <w:bCs/>
        </w:rPr>
      </w:pPr>
    </w:p>
    <w:p w14:paraId="2F1F7A15" w14:textId="77777777" w:rsidR="003F488B" w:rsidRPr="00100FBD" w:rsidRDefault="003F488B" w:rsidP="003F488B">
      <w:pPr>
        <w:jc w:val="both"/>
        <w:rPr>
          <w:b/>
          <w:bCs/>
        </w:rPr>
      </w:pPr>
    </w:p>
    <w:p w14:paraId="659B4900" w14:textId="77777777" w:rsidR="003F488B" w:rsidRPr="00100FBD" w:rsidRDefault="003F488B" w:rsidP="003F488B">
      <w:pPr>
        <w:jc w:val="both"/>
        <w:rPr>
          <w:b/>
          <w:bCs/>
        </w:rPr>
      </w:pPr>
    </w:p>
    <w:p w14:paraId="114C68E2" w14:textId="77777777" w:rsidR="003F488B" w:rsidRPr="00100FBD" w:rsidRDefault="003F488B" w:rsidP="003F488B">
      <w:pPr>
        <w:jc w:val="both"/>
        <w:rPr>
          <w:b/>
          <w:bCs/>
        </w:rPr>
      </w:pPr>
    </w:p>
    <w:p w14:paraId="3B605E73" w14:textId="00CC4767" w:rsidR="003F488B" w:rsidRPr="00100FBD" w:rsidRDefault="00B35F66" w:rsidP="003F488B">
      <w:pPr>
        <w:jc w:val="both"/>
        <w:rPr>
          <w:b/>
          <w:bCs/>
        </w:rPr>
      </w:pPr>
      <w:r>
        <w:rPr>
          <w:b/>
          <w:bCs/>
          <w:noProof/>
          <w14:ligatures w14:val="standardContextual"/>
        </w:rPr>
        <w:drawing>
          <wp:inline distT="0" distB="0" distL="0" distR="0" wp14:anchorId="37DBFAA2" wp14:editId="29FBCDA0">
            <wp:extent cx="5943600" cy="4829175"/>
            <wp:effectExtent l="0" t="0" r="0" b="0"/>
            <wp:docPr id="2111781193" name="Picture 13"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1193" name="Picture 13" descr="A graph with numbers an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7B142C07" w14:textId="72510106" w:rsidR="003F488B" w:rsidRPr="00100FBD" w:rsidRDefault="003F488B" w:rsidP="003F488B">
      <w:pPr>
        <w:jc w:val="both"/>
        <w:rPr>
          <w:b/>
          <w:bCs/>
        </w:rPr>
      </w:pPr>
      <w:r w:rsidRPr="00100FBD">
        <w:rPr>
          <w:b/>
          <w:bCs/>
        </w:rPr>
        <w:t xml:space="preserve">Figure </w:t>
      </w:r>
      <w:r w:rsidR="00831C57">
        <w:rPr>
          <w:b/>
          <w:bCs/>
        </w:rPr>
        <w:t>S</w:t>
      </w:r>
      <w:r w:rsidRPr="00100FBD">
        <w:rPr>
          <w:b/>
          <w:bCs/>
        </w:rPr>
        <w:t>5.</w:t>
      </w:r>
      <w:r w:rsidRPr="00100FBD">
        <w:t xml:space="preserve"> Abacus plot of acoustic telemetry detections for tagged golden shiners from October 2023 to </w:t>
      </w:r>
      <w:r w:rsidR="00A97E78">
        <w:t>September</w:t>
      </w:r>
      <w:r w:rsidRPr="00100FBD">
        <w:t xml:space="preserve"> 2025. Each row represents an individual fish (identified by transmitter ID), with points showing detections over time. Colours indicate the location (habitat) the fish was in at the time of detection (creek = </w:t>
      </w:r>
      <w:r w:rsidR="00B35F66">
        <w:t>pink</w:t>
      </w:r>
      <w:r w:rsidRPr="00100FBD">
        <w:t xml:space="preserve">, lake = </w:t>
      </w:r>
      <w:r w:rsidR="00B35F66">
        <w:t>blue</w:t>
      </w:r>
      <w:r w:rsidRPr="00100FBD">
        <w:t>, transition = grey).</w:t>
      </w:r>
    </w:p>
    <w:p w14:paraId="4FEA08F8" w14:textId="7EDCDE26" w:rsidR="003F488B" w:rsidRPr="00100FBD" w:rsidRDefault="00B35F66" w:rsidP="003F488B">
      <w:pPr>
        <w:jc w:val="both"/>
        <w:rPr>
          <w:b/>
          <w:bCs/>
        </w:rPr>
      </w:pPr>
      <w:r>
        <w:rPr>
          <w:b/>
          <w:bCs/>
          <w:noProof/>
          <w14:ligatures w14:val="standardContextual"/>
        </w:rPr>
        <w:lastRenderedPageBreak/>
        <w:drawing>
          <wp:inline distT="0" distB="0" distL="0" distR="0" wp14:anchorId="7A436019" wp14:editId="16DCA6E8">
            <wp:extent cx="5943600" cy="4829175"/>
            <wp:effectExtent l="0" t="0" r="0" b="0"/>
            <wp:docPr id="531407717" name="Picture 16"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7717" name="Picture 16" descr="A graph with different colored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0E643138" w14:textId="47F750D0" w:rsidR="00622FAB" w:rsidRPr="00100FBD" w:rsidRDefault="003F488B" w:rsidP="003F488B">
      <w:r w:rsidRPr="00100FBD">
        <w:rPr>
          <w:b/>
          <w:bCs/>
        </w:rPr>
        <w:t xml:space="preserve">Figure </w:t>
      </w:r>
      <w:r w:rsidR="00831C57">
        <w:rPr>
          <w:b/>
          <w:bCs/>
        </w:rPr>
        <w:t>S</w:t>
      </w:r>
      <w:r w:rsidRPr="00100FBD">
        <w:rPr>
          <w:b/>
          <w:bCs/>
        </w:rPr>
        <w:t>6.</w:t>
      </w:r>
      <w:r w:rsidRPr="00100FBD">
        <w:t xml:space="preserve"> Abacus plot of enriched acoustic telemetry dataset for tagged shiners from October 2023 to </w:t>
      </w:r>
      <w:r w:rsidR="00A97E78">
        <w:t>September</w:t>
      </w:r>
      <w:r w:rsidRPr="00100FBD">
        <w:t xml:space="preserve"> 2025. Each row represents an individual fish (identified by transmitter ID), with horizontal bars showing continuous periods where the last known location was carried forward in the absence of detections within a given minute. Colours indicate the location (habitat) the fish was in at the time of detection (creek = </w:t>
      </w:r>
      <w:r w:rsidR="00A97E78">
        <w:t>pink</w:t>
      </w:r>
      <w:r w:rsidRPr="00100FBD">
        <w:t xml:space="preserve">, lake = </w:t>
      </w:r>
      <w:r w:rsidR="00A97E78">
        <w:t>blue</w:t>
      </w:r>
      <w:r w:rsidRPr="00100FBD">
        <w:t>, transition = grey).</w:t>
      </w:r>
      <w:r w:rsidR="00ED47E1" w:rsidRPr="00ED47E1">
        <w:t xml:space="preserve"> </w:t>
      </w:r>
    </w:p>
    <w:sectPr w:rsidR="00622FAB" w:rsidRPr="00100F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altName w:val="Times New Roman PS"/>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88B"/>
    <w:rsid w:val="00003FE1"/>
    <w:rsid w:val="000E1A84"/>
    <w:rsid w:val="00100FBD"/>
    <w:rsid w:val="001F3CE8"/>
    <w:rsid w:val="00371563"/>
    <w:rsid w:val="003F488B"/>
    <w:rsid w:val="0042611D"/>
    <w:rsid w:val="00475188"/>
    <w:rsid w:val="004816CD"/>
    <w:rsid w:val="00592030"/>
    <w:rsid w:val="00622FAB"/>
    <w:rsid w:val="00661EBA"/>
    <w:rsid w:val="0081637E"/>
    <w:rsid w:val="00831C57"/>
    <w:rsid w:val="009A28BD"/>
    <w:rsid w:val="009A7531"/>
    <w:rsid w:val="00A21548"/>
    <w:rsid w:val="00A97E78"/>
    <w:rsid w:val="00AA6194"/>
    <w:rsid w:val="00B35F66"/>
    <w:rsid w:val="00DC3159"/>
    <w:rsid w:val="00E3425C"/>
    <w:rsid w:val="00ED47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D31AAD1"/>
  <w15:chartTrackingRefBased/>
  <w15:docId w15:val="{7ADE9D58-6590-974E-8E04-BD4AB139B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88B"/>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F488B"/>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F488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F488B"/>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488B"/>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F488B"/>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F488B"/>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F488B"/>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F488B"/>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F488B"/>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8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48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48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8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8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88B"/>
    <w:rPr>
      <w:rFonts w:eastAsiaTheme="majorEastAsia" w:cstheme="majorBidi"/>
      <w:color w:val="272727" w:themeColor="text1" w:themeTint="D8"/>
    </w:rPr>
  </w:style>
  <w:style w:type="paragraph" w:styleId="Title">
    <w:name w:val="Title"/>
    <w:basedOn w:val="Normal"/>
    <w:next w:val="Normal"/>
    <w:link w:val="TitleChar"/>
    <w:uiPriority w:val="10"/>
    <w:qFormat/>
    <w:rsid w:val="003F488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4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88B"/>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4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88B"/>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F488B"/>
    <w:rPr>
      <w:i/>
      <w:iCs/>
      <w:color w:val="404040" w:themeColor="text1" w:themeTint="BF"/>
    </w:rPr>
  </w:style>
  <w:style w:type="paragraph" w:styleId="ListParagraph">
    <w:name w:val="List Paragraph"/>
    <w:basedOn w:val="Normal"/>
    <w:uiPriority w:val="34"/>
    <w:qFormat/>
    <w:rsid w:val="003F488B"/>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F488B"/>
    <w:rPr>
      <w:i/>
      <w:iCs/>
      <w:color w:val="0F4761" w:themeColor="accent1" w:themeShade="BF"/>
    </w:rPr>
  </w:style>
  <w:style w:type="paragraph" w:styleId="IntenseQuote">
    <w:name w:val="Intense Quote"/>
    <w:basedOn w:val="Normal"/>
    <w:next w:val="Normal"/>
    <w:link w:val="IntenseQuoteChar"/>
    <w:uiPriority w:val="30"/>
    <w:qFormat/>
    <w:rsid w:val="003F488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F488B"/>
    <w:rPr>
      <w:i/>
      <w:iCs/>
      <w:color w:val="0F4761" w:themeColor="accent1" w:themeShade="BF"/>
    </w:rPr>
  </w:style>
  <w:style w:type="character" w:styleId="IntenseReference">
    <w:name w:val="Intense Reference"/>
    <w:basedOn w:val="DefaultParagraphFont"/>
    <w:uiPriority w:val="32"/>
    <w:qFormat/>
    <w:rsid w:val="003F488B"/>
    <w:rPr>
      <w:b/>
      <w:bCs/>
      <w:smallCaps/>
      <w:color w:val="0F4761" w:themeColor="accent1" w:themeShade="BF"/>
      <w:spacing w:val="5"/>
    </w:rPr>
  </w:style>
  <w:style w:type="character" w:styleId="Hyperlink">
    <w:name w:val="Hyperlink"/>
    <w:basedOn w:val="DefaultParagraphFont"/>
    <w:uiPriority w:val="99"/>
    <w:unhideWhenUsed/>
    <w:rsid w:val="003F488B"/>
    <w:rPr>
      <w:color w:val="467886" w:themeColor="hyperlink"/>
      <w:u w:val="single"/>
    </w:rPr>
  </w:style>
  <w:style w:type="paragraph" w:styleId="Caption">
    <w:name w:val="caption"/>
    <w:basedOn w:val="Normal"/>
    <w:next w:val="Normal"/>
    <w:unhideWhenUsed/>
    <w:qFormat/>
    <w:rsid w:val="003F488B"/>
    <w:pPr>
      <w:spacing w:before="120" w:after="120"/>
    </w:pPr>
    <w:rPr>
      <w:rFonts w:ascii="Arial" w:hAnsi="Arial"/>
      <w:b/>
      <w:iCs/>
      <w:sz w:val="20"/>
      <w:szCs w:val="18"/>
      <w:lang w:val="en-US" w:eastAsia="en-CA"/>
    </w:rPr>
  </w:style>
  <w:style w:type="table" w:styleId="TableGrid">
    <w:name w:val="Table Grid"/>
    <w:basedOn w:val="TableNormal"/>
    <w:uiPriority w:val="39"/>
    <w:rsid w:val="00661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60892">
      <w:bodyDiv w:val="1"/>
      <w:marLeft w:val="0"/>
      <w:marRight w:val="0"/>
      <w:marTop w:val="0"/>
      <w:marBottom w:val="0"/>
      <w:divBdr>
        <w:top w:val="none" w:sz="0" w:space="0" w:color="auto"/>
        <w:left w:val="none" w:sz="0" w:space="0" w:color="auto"/>
        <w:bottom w:val="none" w:sz="0" w:space="0" w:color="auto"/>
        <w:right w:val="none" w:sz="0" w:space="0" w:color="auto"/>
      </w:divBdr>
    </w:div>
    <w:div w:id="311954833">
      <w:bodyDiv w:val="1"/>
      <w:marLeft w:val="0"/>
      <w:marRight w:val="0"/>
      <w:marTop w:val="0"/>
      <w:marBottom w:val="0"/>
      <w:divBdr>
        <w:top w:val="none" w:sz="0" w:space="0" w:color="auto"/>
        <w:left w:val="none" w:sz="0" w:space="0" w:color="auto"/>
        <w:bottom w:val="none" w:sz="0" w:space="0" w:color="auto"/>
        <w:right w:val="none" w:sz="0" w:space="0" w:color="auto"/>
      </w:divBdr>
    </w:div>
    <w:div w:id="757025628">
      <w:bodyDiv w:val="1"/>
      <w:marLeft w:val="0"/>
      <w:marRight w:val="0"/>
      <w:marTop w:val="0"/>
      <w:marBottom w:val="0"/>
      <w:divBdr>
        <w:top w:val="none" w:sz="0" w:space="0" w:color="auto"/>
        <w:left w:val="none" w:sz="0" w:space="0" w:color="auto"/>
        <w:bottom w:val="none" w:sz="0" w:space="0" w:color="auto"/>
        <w:right w:val="none" w:sz="0" w:space="0" w:color="auto"/>
      </w:divBdr>
    </w:div>
    <w:div w:id="991060498">
      <w:bodyDiv w:val="1"/>
      <w:marLeft w:val="0"/>
      <w:marRight w:val="0"/>
      <w:marTop w:val="0"/>
      <w:marBottom w:val="0"/>
      <w:divBdr>
        <w:top w:val="none" w:sz="0" w:space="0" w:color="auto"/>
        <w:left w:val="none" w:sz="0" w:space="0" w:color="auto"/>
        <w:bottom w:val="none" w:sz="0" w:space="0" w:color="auto"/>
        <w:right w:val="none" w:sz="0" w:space="0" w:color="auto"/>
      </w:divBdr>
    </w:div>
    <w:div w:id="1732342632">
      <w:bodyDiv w:val="1"/>
      <w:marLeft w:val="0"/>
      <w:marRight w:val="0"/>
      <w:marTop w:val="0"/>
      <w:marBottom w:val="0"/>
      <w:divBdr>
        <w:top w:val="none" w:sz="0" w:space="0" w:color="auto"/>
        <w:left w:val="none" w:sz="0" w:space="0" w:color="auto"/>
        <w:bottom w:val="none" w:sz="0" w:space="0" w:color="auto"/>
        <w:right w:val="none" w:sz="0" w:space="0" w:color="auto"/>
      </w:divBdr>
    </w:div>
    <w:div w:id="212029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1128</Words>
  <Characters>6431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6</cp:revision>
  <dcterms:created xsi:type="dcterms:W3CDTF">2026-03-18T13:05:00Z</dcterms:created>
  <dcterms:modified xsi:type="dcterms:W3CDTF">2026-03-18T22:00:00Z</dcterms:modified>
</cp:coreProperties>
</file>