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00"/>
        <w:jc w:val="center"/>
      </w:pPr>
      <w:r>
        <w:rPr>
          <w:rFonts w:ascii="Arial" w:cs="Arial" w:eastAsia="Arial" w:hAnsi="Arial"/>
          <w:b/>
          <w:bCs/>
          <w:color w:val="0A0F1E"/>
          <w:sz w:val="80"/>
          <w:szCs w:val="80"/>
        </w:rPr>
        <w:t xml:space="preserve">LP Studio</w:t>
      </w:r>
    </w:p>
    <w:p>
      <w:pPr>
        <w:spacing w:after="80"/>
        <w:jc w:val="center"/>
      </w:pPr>
      <w:r>
        <w:rPr>
          <w:rFonts w:ascii="Arial" w:cs="Arial" w:eastAsia="Arial" w:hAnsi="Arial"/>
          <w:color w:val="6C5CE7"/>
          <w:sz w:val="32"/>
          <w:szCs w:val="32"/>
        </w:rPr>
        <w:t xml:space="preserve">Go-to-Market Strategy, Positioning &amp; Competitive Analysis</w:t>
      </w:r>
    </w:p>
    <w:p>
      <w:pPr>
        <w:spacing w:after="400"/>
        <w:jc w:val="center"/>
      </w:pPr>
      <w:r>
        <w:rPr>
          <w:rFonts w:ascii="Arial" w:cs="Arial" w:eastAsia="Arial" w:hAnsi="Arial"/>
          <w:i/>
          <w:iCs/>
          <w:color w:val="94A3B8"/>
          <w:sz w:val="24"/>
          <w:szCs w:val="24"/>
        </w:rPr>
        <w:t xml:space="preserve">The AI-first platform for revenue teams</w:t>
      </w:r>
    </w:p>
    <w:p>
      <w:pPr>
        <w:spacing w:after="60"/>
        <w:jc w:val="center"/>
      </w:pPr>
      <w:r>
        <w:rPr>
          <w:color w:val="94A3B8"/>
          <w:sz w:val="20"/>
          <w:szCs w:val="20"/>
        </w:rPr>
        <w:t xml:space="preserve">Prepared for Charlotte Carey  |  March 2026</w:t>
      </w:r>
    </w:p>
    <w:p>
      <w:pPr>
        <w:jc w:val="center"/>
      </w:pPr>
      <w:r>
        <w:rPr>
          <w:i/>
          <w:iCs/>
          <w:color w:val="94A3B8"/>
          <w:sz w:val="18"/>
          <w:szCs w:val="18"/>
        </w:rPr>
        <w:t xml:space="preserve">Confidential</w:t>
      </w:r>
    </w:p>
    <w:p>
      <w:r>
        <w:br w:type="page"/>
      </w:r>
    </w:p>
    <w:p>
      <w:pPr>
        <w:sectPr>
          <w:pgSz w:w="12240" w:h="15840" w:orient="portrait"/>
          <w:pgMar w:top="1440" w:right="1440" w:bottom="1440" w:left="1440" w:header="708" w:footer="708" w:gutter="0"/>
          <w:pgNumType/>
          <w:docGrid w:linePitch="360"/>
        </w:sectPr>
      </w:pPr>
    </w:p>
    <w:p>
      <w:pPr>
        <w:pStyle w:val="Heading1"/>
      </w:pPr>
      <w:r>
        <w:t xml:space="preserve">1. The Manifesto: Content Creation is Broken</w:t>
      </w:r>
    </w:p>
    <w:p>
      <w:pPr>
        <w:spacing w:after="120"/>
      </w:pPr>
      <w:r>
        <w:rPr>
          <w:sz w:val="22"/>
          <w:szCs w:val="22"/>
        </w:rPr>
        <w:t xml:space="preserve">The way revenue teams create content today is fundamentally broken. A single landing page takes 4–8 weeks to go from idea to live — cycling through wireframes, design reviews, copywriting rounds, development sprints, QA, and stakeholder approvals. By the time it launches, the campaign window has closed, the market has moved, and the page is already stale.</w:t>
      </w:r>
    </w:p>
    <w:p>
      <w:pPr>
        <w:spacing w:after="120"/>
      </w:pPr>
      <w:r>
        <w:rPr>
          <w:sz w:val="22"/>
          <w:szCs w:val="22"/>
        </w:rPr>
        <w:t xml:space="preserve">Meanwhile, sales reps are left to fend for themselves. They ask marketing for a one-pager, a landing page, a personalized microsite — and the request goes into a queue they’ll never see the end of. So they cobble together outdated templates, off-brand PDFs, and generic decks that don’t convert and don’t represent the company well.</w:t>
      </w:r>
    </w:p>
    <w:p>
      <w:pPr>
        <w:spacing w:after="120"/>
      </w:pPr>
      <w:r>
        <w:rPr>
          <w:sz w:val="22"/>
          <w:szCs w:val="22"/>
        </w:rPr>
        <w:t xml:space="preserve">This is the old way. And it’s over.</w:t>
      </w:r>
    </w:p>
    <w:p>
      <w:pPr>
        <w:pStyle w:val="Heading2"/>
      </w:pPr>
      <w:r>
        <w:t xml:space="preserve">The New Way: AI-First Content Creation</w:t>
      </w:r>
    </w:p>
    <w:p>
      <w:pPr>
        <w:spacing w:after="120"/>
      </w:pPr>
      <w:r>
        <w:rPr>
          <w:sz w:val="22"/>
          <w:szCs w:val="22"/>
        </w:rPr>
        <w:t xml:space="preserve">LP Studio is built on a simple premise: every revenue team member should be able to generate beautiful, on-brand, high-converting content in seconds — not weeks. The platform combines AI page generation, intelligent traffic routing, and full-funnel analytics into a single workspace where marketing, sales, and RevOps all operate from the same source of truth.</w:t>
      </w:r>
    </w:p>
    <w:p>
      <w:pPr>
        <w:spacing w:after="120"/>
      </w:pPr>
      <w:r>
        <w:rPr>
          <w:sz w:val="22"/>
          <w:szCs w:val="22"/>
        </w:rPr>
        <w:t xml:space="preserve">No more wireframes. No more endless meetings. No more waiting on dev. No more cobbled-together templates. Just describe what you need, and LP Studio creates it — on brand, optimized for conversion, and ready to publish.</w:t>
      </w:r>
    </w:p>
    <w:p>
      <w:r>
        <w:br w:type="page"/>
      </w:r>
    </w:p>
    <w:p>
      <w:pPr>
        <w:pStyle w:val="Heading1"/>
      </w:pPr>
      <w:r>
        <w:t xml:space="preserve">2. Product Audit: What We Have Today</w:t>
      </w:r>
    </w:p>
    <w:p>
      <w:pPr>
        <w:spacing w:after="120"/>
      </w:pPr>
      <w:r>
        <w:rPr>
          <w:sz w:val="22"/>
          <w:szCs w:val="22"/>
        </w:rPr>
        <w:t xml:space="preserve">LP Studio consolidates two internal Dandy applications into a single SaaS platform. Below is an exhaustive inventory of every feature, algorithm, and capability across both codebases — derived from reading the actual source code.</w:t>
      </w:r>
    </w:p>
    <w:p>
      <w:pPr>
        <w:pStyle w:val="Heading2"/>
      </w:pPr>
      <w:r>
        <w:t xml:space="preserve">2.1 LP Studio Core (lp-studio repo)</w:t>
      </w:r>
    </w:p>
    <w:p>
      <w:pPr>
        <w:pStyle w:val="Heading3"/>
      </w:pPr>
      <w:r>
        <w:t xml:space="preserve">AI Page Builder</w:t>
      </w:r>
    </w:p>
    <w:p>
      <w:pPr>
        <w:pStyle w:val="ListParagraph"/>
        <w:numPr>
          <w:ilvl w:val="0"/>
          <w:numId w:val="2"/>
        </w:numPr>
        <w:spacing w:after="60"/>
      </w:pPr>
      <w:r>
        <w:rPr>
          <w:b/>
          <w:bCs/>
          <w:sz w:val="21"/>
          <w:szCs w:val="21"/>
        </w:rPr>
        <w:t xml:space="preserve">AI Page Generation (GPT-4o): </w:t>
      </w:r>
      <w:r>
        <w:rPr>
          <w:sz w:val="21"/>
          <w:szCs w:val="21"/>
        </w:rPr>
        <w:t xml:space="preserve">Describe a campaign in natural language. AI generates a complete landing page with hero, benefits, social proof, CTA blocks — styled with your brand settings, curating images from your media library.</w:t>
      </w:r>
    </w:p>
    <w:p>
      <w:pPr>
        <w:pStyle w:val="ListParagraph"/>
        <w:numPr>
          <w:ilvl w:val="0"/>
          <w:numId w:val="2"/>
        </w:numPr>
        <w:spacing w:after="60"/>
      </w:pPr>
      <w:r>
        <w:rPr>
          <w:b/>
          <w:bCs/>
          <w:sz w:val="21"/>
          <w:szCs w:val="21"/>
        </w:rPr>
        <w:t xml:space="preserve">AI Copy Generation: </w:t>
      </w:r>
      <w:r>
        <w:rPr>
          <w:sz w:val="21"/>
          <w:szCs w:val="21"/>
        </w:rPr>
        <w:t xml:space="preserve">Per-block and batch copy refresh. GPT-4o generates headlines, subheadlines, CTAs, and body copy using your brand tone, messaging pillars, avoid-phrases, and product context.</w:t>
      </w:r>
    </w:p>
    <w:p>
      <w:pPr>
        <w:pStyle w:val="ListParagraph"/>
        <w:numPr>
          <w:ilvl w:val="0"/>
          <w:numId w:val="2"/>
        </w:numPr>
        <w:spacing w:after="60"/>
      </w:pPr>
      <w:r>
        <w:rPr>
          <w:b/>
          <w:bCs/>
          <w:sz w:val="21"/>
          <w:szCs w:val="21"/>
        </w:rPr>
        <w:t xml:space="preserve">AI SEO Meta Generation: </w:t>
      </w:r>
      <w:r>
        <w:rPr>
          <w:sz w:val="21"/>
          <w:szCs w:val="21"/>
        </w:rPr>
        <w:t xml:space="preserve">Auto-generate meta titles, descriptions, OG tags, and image recommendations based on page content and target keywords.</w:t>
      </w:r>
    </w:p>
    <w:p>
      <w:pPr>
        <w:pStyle w:val="ListParagraph"/>
        <w:numPr>
          <w:ilvl w:val="0"/>
          <w:numId w:val="2"/>
        </w:numPr>
        <w:spacing w:after="60"/>
      </w:pPr>
      <w:r>
        <w:rPr>
          <w:b/>
          <w:bCs/>
          <w:sz w:val="21"/>
          <w:szCs w:val="21"/>
        </w:rPr>
        <w:t xml:space="preserve">AI Brand Import: </w:t>
      </w:r>
      <w:r>
        <w:rPr>
          <w:sz w:val="21"/>
          <w:szCs w:val="21"/>
        </w:rPr>
        <w:t xml:space="preserve">Paste any website URL. AI scrapes the site and extracts brand identity (colors, typography, button styles, voice/tone, product lines) into LP Studio’s brand settings.</w:t>
      </w:r>
    </w:p>
    <w:p>
      <w:pPr>
        <w:spacing w:after="80"/>
      </w:pPr>
    </w:p>
    <w:p>
      <w:pPr>
        <w:pStyle w:val="Heading3"/>
      </w:pPr>
      <w:r>
        <w:t xml:space="preserve">Smart Traffic Engine (Thompson Sampling)</w:t>
      </w:r>
    </w:p>
    <w:p>
      <w:pPr>
        <w:spacing w:after="120"/>
      </w:pPr>
      <w:r>
        <w:rPr>
          <w:sz w:val="22"/>
          <w:szCs w:val="22"/>
        </w:rPr>
        <w:t xml:space="preserve">LP Studio’s Smart Traffic is a contextual multi-armed bandit that replaces static A/B test splits with intelligent visitor routing. The algorithm uses Thompson Sampling with Beta distributions to balance exploration and exploitation automatically.</w:t>
      </w:r>
    </w:p>
    <w:p>
      <w:pPr>
        <w:pStyle w:val="ListParagraph"/>
        <w:numPr>
          <w:ilvl w:val="0"/>
          <w:numId w:val="3"/>
        </w:numPr>
        <w:spacing w:after="60"/>
      </w:pPr>
      <w:r>
        <w:rPr>
          <w:b/>
          <w:bCs/>
          <w:sz w:val="21"/>
          <w:szCs w:val="21"/>
        </w:rPr>
        <w:t xml:space="preserve">Feature Bucketing: </w:t>
      </w:r>
      <w:r>
        <w:rPr>
          <w:sz w:val="21"/>
          <w:szCs w:val="21"/>
        </w:rPr>
        <w:t xml:space="preserve">Visitor features (device, browser, OS, country, day of week, hour, referrer domain, UTM source/medium) are collected on every visit and bucketed into composite keys (e.g., mobile|us, desktop|gb).</w:t>
      </w:r>
    </w:p>
    <w:p>
      <w:pPr>
        <w:pStyle w:val="ListParagraph"/>
        <w:numPr>
          <w:ilvl w:val="0"/>
          <w:numId w:val="3"/>
        </w:numPr>
        <w:spacing w:after="60"/>
      </w:pPr>
      <w:r>
        <w:rPr>
          <w:b/>
          <w:bCs/>
          <w:sz w:val="21"/>
          <w:szCs w:val="21"/>
        </w:rPr>
        <w:t xml:space="preserve">Beta Distribution Sampling: </w:t>
      </w:r>
      <w:r>
        <w:rPr>
          <w:sz w:val="21"/>
          <w:szCs w:val="21"/>
        </w:rPr>
        <w:t xml:space="preserve">For each variant and feature bucket, the system maintains successes and failures. On each visit, it samples from Beta(α, β) per variant and routes to the highest sample.</w:t>
      </w:r>
    </w:p>
    <w:p>
      <w:pPr>
        <w:pStyle w:val="ListParagraph"/>
        <w:numPr>
          <w:ilvl w:val="0"/>
          <w:numId w:val="3"/>
        </w:numPr>
        <w:spacing w:after="60"/>
      </w:pPr>
      <w:r>
        <w:rPr>
          <w:b/>
          <w:bCs/>
          <w:sz w:val="21"/>
          <w:szCs w:val="21"/>
        </w:rPr>
        <w:t xml:space="preserve">10% Exploration Floor: </w:t>
      </w:r>
      <w:r>
        <w:rPr>
          <w:sz w:val="21"/>
          <w:szCs w:val="21"/>
        </w:rPr>
        <w:t xml:space="preserve">Always routes 10% of traffic randomly to prevent the algorithm from getting stuck on a local optimum.</w:t>
      </w:r>
    </w:p>
    <w:p>
      <w:pPr>
        <w:pStyle w:val="ListParagraph"/>
        <w:numPr>
          <w:ilvl w:val="0"/>
          <w:numId w:val="3"/>
        </w:numPr>
        <w:spacing w:after="60"/>
      </w:pPr>
      <w:r>
        <w:rPr>
          <w:b/>
          <w:bCs/>
          <w:sz w:val="21"/>
          <w:szCs w:val="21"/>
        </w:rPr>
        <w:t xml:space="preserve">Convergence Detection: </w:t>
      </w:r>
      <w:r>
        <w:rPr>
          <w:sz w:val="21"/>
          <w:szCs w:val="21"/>
        </w:rPr>
        <w:t xml:space="preserve">When one variant receives &gt;90% of traffic consistently, the system flags it as a potential winner. Estimated ~30% conversion lift vs. traditional A/B.</w:t>
      </w:r>
    </w:p>
    <w:p>
      <w:pPr>
        <w:pStyle w:val="ListParagraph"/>
        <w:numPr>
          <w:ilvl w:val="0"/>
          <w:numId w:val="3"/>
        </w:numPr>
        <w:spacing w:after="60"/>
      </w:pPr>
      <w:r>
        <w:rPr>
          <w:b/>
          <w:bCs/>
          <w:sz w:val="21"/>
          <w:szCs w:val="21"/>
        </w:rPr>
        <w:t xml:space="preserve">Minimum Samples: </w:t>
      </w:r>
      <w:r>
        <w:rPr>
          <w:sz w:val="21"/>
          <w:szCs w:val="21"/>
        </w:rPr>
        <w:t xml:space="preserve">Configurable threshold (default 100 impressions) before smart routing activates. Below this, traffic is split randomly.</w:t>
      </w:r>
    </w:p>
    <w:p>
      <w:pPr>
        <w:spacing w:after="80"/>
      </w:pPr>
    </w:p>
    <w:p>
      <w:pPr>
        <w:pStyle w:val="Heading3"/>
      </w:pPr>
      <w:r>
        <w:t xml:space="preserve">Testing &amp; Statistical Analysis</w:t>
      </w:r>
    </w:p>
    <w:p>
      <w:pPr>
        <w:pStyle w:val="ListParagraph"/>
        <w:numPr>
          <w:ilvl w:val="0"/>
          <w:numId w:val="4"/>
        </w:numPr>
        <w:spacing w:after="60"/>
      </w:pPr>
      <w:r>
        <w:rPr>
          <w:b/>
          <w:bCs/>
          <w:sz w:val="21"/>
          <w:szCs w:val="21"/>
        </w:rPr>
        <w:t xml:space="preserve">A/B + Multivariate Testing: </w:t>
      </w:r>
      <w:r>
        <w:rPr>
          <w:sz w:val="21"/>
          <w:szCs w:val="21"/>
        </w:rPr>
        <w:t xml:space="preserve">Create tests with unlimited variants, configurable traffic weights, and control designation. Block-level testing lets you A/B test individual page sections without duplicating the entire page.</w:t>
      </w:r>
    </w:p>
    <w:p>
      <w:pPr>
        <w:pStyle w:val="ListParagraph"/>
        <w:numPr>
          <w:ilvl w:val="0"/>
          <w:numId w:val="4"/>
        </w:numPr>
        <w:spacing w:after="60"/>
      </w:pPr>
      <w:r>
        <w:rPr>
          <w:b/>
          <w:bCs/>
          <w:sz w:val="21"/>
          <w:szCs w:val="21"/>
        </w:rPr>
        <w:t xml:space="preserve">Statistical Engine: </w:t>
      </w:r>
      <w:r>
        <w:rPr>
          <w:sz w:val="21"/>
          <w:szCs w:val="21"/>
        </w:rPr>
        <w:t xml:space="preserve">Calculates conversion rate, relative uplift vs. control, z-score (pooled proportion), p-value (two-tailed via Abramowitz &amp; Stegun approximation), and 95% confidence levels. Identifies statistically significant winners automatically.</w:t>
      </w:r>
    </w:p>
    <w:p>
      <w:pPr>
        <w:pStyle w:val="ListParagraph"/>
        <w:numPr>
          <w:ilvl w:val="0"/>
          <w:numId w:val="4"/>
        </w:numPr>
        <w:spacing w:after="60"/>
      </w:pPr>
      <w:r>
        <w:rPr>
          <w:b/>
          <w:bCs/>
          <w:sz w:val="21"/>
          <w:szCs w:val="21"/>
        </w:rPr>
        <w:t xml:space="preserve">30-Day Time Series: </w:t>
      </w:r>
      <w:r>
        <w:rPr>
          <w:sz w:val="21"/>
          <w:szCs w:val="21"/>
        </w:rPr>
        <w:t xml:space="preserve">Daily impression and conversion breakdowns per variant for trend visualization.</w:t>
      </w:r>
    </w:p>
    <w:p>
      <w:pPr>
        <w:spacing w:after="80"/>
      </w:pPr>
    </w:p>
    <w:p>
      <w:pPr>
        <w:pStyle w:val="Heading3"/>
      </w:pPr>
      <w:r>
        <w:t xml:space="preserve">Heatmaps &amp; Behavioral Analytics</w:t>
      </w:r>
    </w:p>
    <w:p>
      <w:pPr>
        <w:pStyle w:val="ListParagraph"/>
        <w:numPr>
          <w:ilvl w:val="0"/>
          <w:numId w:val="5"/>
        </w:numPr>
        <w:spacing w:after="60"/>
      </w:pPr>
      <w:r>
        <w:rPr>
          <w:b/>
          <w:bCs/>
          <w:sz w:val="21"/>
          <w:szCs w:val="21"/>
        </w:rPr>
        <w:t xml:space="preserve">Click Heatmaps: </w:t>
      </w:r>
      <w:r>
        <w:rPr>
          <w:sz w:val="21"/>
          <w:szCs w:val="21"/>
        </w:rPr>
        <w:t xml:space="preserve">1% x 1% grid aggregation of click coordinates. Filter by device (desktop/tablet/mobile) and time range. Block-level click breakdown shows which sections get the most interaction.</w:t>
      </w:r>
    </w:p>
    <w:p>
      <w:pPr>
        <w:pStyle w:val="ListParagraph"/>
        <w:numPr>
          <w:ilvl w:val="0"/>
          <w:numId w:val="5"/>
        </w:numPr>
        <w:spacing w:after="60"/>
      </w:pPr>
      <w:r>
        <w:rPr>
          <w:b/>
          <w:bCs/>
          <w:sz w:val="21"/>
          <w:szCs w:val="21"/>
        </w:rPr>
        <w:t xml:space="preserve">Scroll Depth Tracking: </w:t>
      </w:r>
      <w:r>
        <w:rPr>
          <w:sz w:val="21"/>
          <w:szCs w:val="21"/>
        </w:rPr>
        <w:t xml:space="preserve">10% depth bucket histogram showing where visitors drop off. Session-level max scroll depth tracking.</w:t>
      </w:r>
    </w:p>
    <w:p>
      <w:pPr>
        <w:pStyle w:val="ListParagraph"/>
        <w:numPr>
          <w:ilvl w:val="0"/>
          <w:numId w:val="5"/>
        </w:numPr>
        <w:spacing w:after="60"/>
      </w:pPr>
      <w:r>
        <w:rPr>
          <w:b/>
          <w:bCs/>
          <w:sz w:val="21"/>
          <w:szCs w:val="21"/>
        </w:rPr>
        <w:t xml:space="preserve">Geo Analytics: </w:t>
      </w:r>
      <w:r>
        <w:rPr>
          <w:sz w:val="21"/>
          <w:szCs w:val="21"/>
        </w:rPr>
        <w:t xml:space="preserve">Country, region, and city-level visitor distribution maps powered by GeoIP lookup on every page load.</w:t>
      </w:r>
    </w:p>
    <w:p>
      <w:pPr>
        <w:pStyle w:val="ListParagraph"/>
        <w:numPr>
          <w:ilvl w:val="0"/>
          <w:numId w:val="5"/>
        </w:numPr>
        <w:spacing w:after="60"/>
      </w:pPr>
      <w:r>
        <w:rPr>
          <w:b/>
          <w:bCs/>
          <w:sz w:val="21"/>
          <w:szCs w:val="21"/>
        </w:rPr>
        <w:t xml:space="preserve">Performance Scores: </w:t>
      </w:r>
      <w:r>
        <w:rPr>
          <w:sz w:val="21"/>
          <w:szCs w:val="21"/>
        </w:rPr>
        <w:t xml:space="preserve">Per-page badges showing conversion rate, average scroll depth, and device breakdown — visible in the pages gallery for at-a-glance comparison.</w:t>
      </w:r>
    </w:p>
    <w:p>
      <w:pPr>
        <w:spacing w:after="80"/>
      </w:pPr>
    </w:p>
    <w:p>
      <w:pPr>
        <w:pStyle w:val="Heading3"/>
      </w:pPr>
      <w:r>
        <w:t xml:space="preserve">Lead Capture &amp; CRM Integration</w:t>
      </w:r>
    </w:p>
    <w:p>
      <w:pPr>
        <w:pStyle w:val="ListParagraph"/>
        <w:numPr>
          <w:ilvl w:val="0"/>
          <w:numId w:val="6"/>
        </w:numPr>
        <w:spacing w:after="60"/>
      </w:pPr>
      <w:r>
        <w:rPr>
          <w:b/>
          <w:bCs/>
          <w:sz w:val="21"/>
          <w:szCs w:val="21"/>
        </w:rPr>
        <w:t xml:space="preserve">Form Builder: </w:t>
      </w:r>
      <w:r>
        <w:rPr>
          <w:sz w:val="21"/>
          <w:szCs w:val="21"/>
        </w:rPr>
        <w:t xml:space="preserve">Multi-step forms with configurable fields (email, text, select, textarea). Hidden fields auto-populate UTM parameters and page context.</w:t>
      </w:r>
    </w:p>
    <w:p>
      <w:pPr>
        <w:pStyle w:val="ListParagraph"/>
        <w:numPr>
          <w:ilvl w:val="0"/>
          <w:numId w:val="6"/>
        </w:numPr>
        <w:spacing w:after="60"/>
      </w:pPr>
      <w:r>
        <w:rPr>
          <w:b/>
          <w:bCs/>
          <w:sz w:val="21"/>
          <w:szCs w:val="21"/>
        </w:rPr>
        <w:t xml:space="preserve">Lead Pipeline: </w:t>
      </w:r>
      <w:r>
        <w:rPr>
          <w:sz w:val="21"/>
          <w:szCs w:val="21"/>
        </w:rPr>
        <w:t xml:space="preserve">On form submission, leads are created in the database with IP, user agent, form fields, and variant attribution. Async processing triggers all downstream integrations.</w:t>
      </w:r>
    </w:p>
    <w:p>
      <w:pPr>
        <w:pStyle w:val="ListParagraph"/>
        <w:numPr>
          <w:ilvl w:val="0"/>
          <w:numId w:val="6"/>
        </w:numPr>
        <w:spacing w:after="60"/>
      </w:pPr>
      <w:r>
        <w:rPr>
          <w:b/>
          <w:bCs/>
          <w:sz w:val="21"/>
          <w:szCs w:val="21"/>
        </w:rPr>
        <w:t xml:space="preserve">CRM Push: </w:t>
      </w:r>
      <w:r>
        <w:rPr>
          <w:sz w:val="21"/>
          <w:szCs w:val="21"/>
        </w:rPr>
        <w:t xml:space="preserve">Native Salesforce field mapping + lead creation. Native Marketo field mapping + lead creation. Google Sheets append. Custom webhook delivery.</w:t>
      </w:r>
    </w:p>
    <w:p>
      <w:pPr>
        <w:pStyle w:val="ListParagraph"/>
        <w:numPr>
          <w:ilvl w:val="0"/>
          <w:numId w:val="6"/>
        </w:numPr>
        <w:spacing w:after="60"/>
      </w:pPr>
      <w:r>
        <w:rPr>
          <w:b/>
          <w:bCs/>
          <w:sz w:val="21"/>
          <w:szCs w:val="21"/>
        </w:rPr>
        <w:t xml:space="preserve">Notifications: </w:t>
      </w:r>
      <w:r>
        <w:rPr>
          <w:sz w:val="21"/>
          <w:szCs w:val="21"/>
        </w:rPr>
        <w:t xml:space="preserve">Email notifications to configurable recipient lists per page. Per-page form notification settings.</w:t>
      </w:r>
    </w:p>
    <w:p>
      <w:pPr>
        <w:pStyle w:val="ListParagraph"/>
        <w:numPr>
          <w:ilvl w:val="0"/>
          <w:numId w:val="6"/>
        </w:numPr>
        <w:spacing w:after="60"/>
      </w:pPr>
      <w:r>
        <w:rPr>
          <w:b/>
          <w:bCs/>
          <w:sz w:val="21"/>
          <w:szCs w:val="21"/>
        </w:rPr>
        <w:t xml:space="preserve">Export: </w:t>
      </w:r>
      <w:r>
        <w:rPr>
          <w:sz w:val="21"/>
          <w:szCs w:val="21"/>
        </w:rPr>
        <w:t xml:space="preserve">CSV export with date range filtering and pagination (50 per page).</w:t>
      </w:r>
    </w:p>
    <w:p>
      <w:pPr>
        <w:spacing w:after="80"/>
      </w:pPr>
    </w:p>
    <w:p>
      <w:pPr>
        <w:pStyle w:val="Heading3"/>
      </w:pPr>
      <w:r>
        <w:t xml:space="preserve">Page Builder (30+ Block Types)</w:t>
      </w:r>
    </w:p>
    <w:p>
      <w:pPr>
        <w:pStyle w:val="ListParagraph"/>
        <w:numPr>
          <w:ilvl w:val="0"/>
          <w:numId w:val="7"/>
        </w:numPr>
        <w:spacing w:after="60"/>
      </w:pPr>
      <w:r>
        <w:rPr>
          <w:sz w:val="21"/>
          <w:szCs w:val="21"/>
        </w:rPr>
        <w:t xml:space="preserve">NavHeader, FullBleedHero, VideoSection, BenefitsGrid, Testimonial, CaseStudies, ProductShowcase, ProductGrid, PAS Section (Pain-Agitate-Solve), ZigzagFeatures, InlineForm, BottomCTA, Footer, PhotoStrip, Resources, StickyBar (persistent CTA), Popup (scroll/time trigger), CustomHTML, and more.</w:t>
      </w:r>
    </w:p>
    <w:p>
      <w:pPr>
        <w:pStyle w:val="ListParagraph"/>
        <w:numPr>
          <w:ilvl w:val="0"/>
          <w:numId w:val="7"/>
        </w:numPr>
        <w:spacing w:after="60"/>
      </w:pPr>
      <w:r>
        <w:rPr>
          <w:b/>
          <w:bCs/>
          <w:sz w:val="21"/>
          <w:szCs w:val="21"/>
        </w:rPr>
        <w:t xml:space="preserve">Drag-and-Drop: </w:t>
      </w:r>
      <w:r>
        <w:rPr>
          <w:sz w:val="21"/>
          <w:szCs w:val="21"/>
        </w:rPr>
        <w:t xml:space="preserve">Powered by @dnd-kit with sortable block reordering.</w:t>
      </w:r>
    </w:p>
    <w:p>
      <w:pPr>
        <w:pStyle w:val="ListParagraph"/>
        <w:numPr>
          <w:ilvl w:val="0"/>
          <w:numId w:val="7"/>
        </w:numPr>
        <w:spacing w:after="60"/>
      </w:pPr>
      <w:r>
        <w:rPr>
          <w:b/>
          <w:bCs/>
          <w:sz w:val="21"/>
          <w:szCs w:val="21"/>
        </w:rPr>
        <w:t xml:space="preserve">Brand Settings: </w:t>
      </w:r>
      <w:r>
        <w:rPr>
          <w:sz w:val="21"/>
          <w:szCs w:val="21"/>
        </w:rPr>
        <w:t xml:space="preserve">Global brand configuration — colors (primary, accent, nav, CTA, secondary), typography (display + body fonts, heading sizes/weights, spacing), button styles (radius, shadow, padding, case), tone of voice, messaging pillars, avoid phrases, product lines, social URLs.</w:t>
      </w:r>
    </w:p>
    <w:p>
      <w:pPr>
        <w:pStyle w:val="ListParagraph"/>
        <w:numPr>
          <w:ilvl w:val="0"/>
          <w:numId w:val="7"/>
        </w:numPr>
        <w:spacing w:after="60"/>
      </w:pPr>
      <w:r>
        <w:rPr>
          <w:b/>
          <w:bCs/>
          <w:sz w:val="21"/>
          <w:szCs w:val="21"/>
        </w:rPr>
        <w:t xml:space="preserve">Content Library: </w:t>
      </w:r>
      <w:r>
        <w:rPr>
          <w:sz w:val="21"/>
          <w:szCs w:val="21"/>
        </w:rPr>
        <w:t xml:space="preserve">Save pages as reusable templates. Import templates into new pages. Block defaults studio for configuring standard block appearance.</w:t>
      </w:r>
    </w:p>
    <w:p>
      <w:pPr>
        <w:pStyle w:val="ListParagraph"/>
        <w:numPr>
          <w:ilvl w:val="0"/>
          <w:numId w:val="7"/>
        </w:numPr>
        <w:spacing w:after="60"/>
      </w:pPr>
      <w:r>
        <w:rPr>
          <w:b/>
          <w:bCs/>
          <w:sz w:val="21"/>
          <w:szCs w:val="21"/>
        </w:rPr>
        <w:t xml:space="preserve">Custom Blocks: </w:t>
      </w:r>
      <w:r>
        <w:rPr>
          <w:sz w:val="21"/>
          <w:szCs w:val="21"/>
        </w:rPr>
        <w:t xml:space="preserve">Upload custom HTML/CSS blocks with live preview.</w:t>
      </w:r>
    </w:p>
    <w:p>
      <w:pPr>
        <w:spacing w:after="80"/>
      </w:pPr>
    </w:p>
    <w:p>
      <w:pPr>
        <w:pStyle w:val="Heading3"/>
      </w:pPr>
      <w:r>
        <w:t xml:space="preserve">Collaboration &amp; Workflows</w:t>
      </w:r>
    </w:p>
    <w:p>
      <w:pPr>
        <w:pStyle w:val="ListParagraph"/>
        <w:numPr>
          <w:ilvl w:val="0"/>
          <w:numId w:val="8"/>
        </w:numPr>
        <w:spacing w:after="60"/>
      </w:pPr>
      <w:r>
        <w:rPr>
          <w:b/>
          <w:bCs/>
          <w:sz w:val="21"/>
          <w:szCs w:val="21"/>
        </w:rPr>
        <w:t xml:space="preserve">Page Reviews: </w:t>
      </w:r>
      <w:r>
        <w:rPr>
          <w:sz w:val="21"/>
          <w:szCs w:val="21"/>
        </w:rPr>
        <w:t xml:space="preserve">Invite reviewers via unique tokens. Block-level inline comments with threading. Page-level approval workflow (pending → approved/rejected).</w:t>
      </w:r>
    </w:p>
    <w:p>
      <w:pPr>
        <w:pStyle w:val="ListParagraph"/>
        <w:numPr>
          <w:ilvl w:val="0"/>
          <w:numId w:val="8"/>
        </w:numPr>
        <w:spacing w:after="60"/>
      </w:pPr>
      <w:r>
        <w:rPr>
          <w:b/>
          <w:bCs/>
          <w:sz w:val="21"/>
          <w:szCs w:val="21"/>
        </w:rPr>
        <w:t xml:space="preserve">Real-Time Presence: </w:t>
      </w:r>
      <w:r>
        <w:rPr>
          <w:sz w:val="21"/>
          <w:szCs w:val="21"/>
        </w:rPr>
        <w:t xml:space="preserve">See who is viewing/editing a page in real time.</w:t>
      </w:r>
    </w:p>
    <w:p>
      <w:pPr>
        <w:spacing w:after="80"/>
      </w:pPr>
    </w:p>
    <w:p>
      <w:pPr>
        <w:pStyle w:val="Heading3"/>
      </w:pPr>
      <w:r>
        <w:t xml:space="preserve">Database Schema (14 Tables, Drizzle ORM + Neon Postgres)</w:t>
      </w:r>
    </w:p>
    <w:p>
      <w:pPr>
        <w:spacing w:after="120"/>
      </w:pPr>
      <w:r>
        <w:rPr>
          <w:sz w:val="22"/>
          <w:szCs w:val="22"/>
        </w:rPr>
        <w:t xml:space="preserve">lpPages, lpTests, lpVariants, lpSessions, lpEvents, lpSmartTrafficStats, lpHeatmapEvents, lpPageVisits, lpLeads, lpForms, lpFormNotifications, lpBrandSettings, lpMedia, lpPageComments/Reviews/Presence.</w:t>
      </w:r>
    </w:p>
    <w:p>
      <w:pPr>
        <w:spacing w:after="80"/>
      </w:pPr>
    </w:p>
    <w:p>
      <w:pPr>
        <w:pStyle w:val="Heading3"/>
      </w:pPr>
      <w:r>
        <w:t xml:space="preserve">Tech Stack</w:t>
      </w:r>
    </w:p>
    <w:p>
      <w:pPr>
        <w:pStyle w:val="ListParagraph"/>
        <w:numPr>
          <w:ilvl w:val="0"/>
          <w:numId w:val="9"/>
        </w:numPr>
        <w:spacing w:after="60"/>
      </w:pPr>
      <w:r>
        <w:rPr>
          <w:b/>
          <w:bCs/>
          <w:sz w:val="21"/>
          <w:szCs w:val="21"/>
        </w:rPr>
        <w:t xml:space="preserve">Frontend: </w:t>
      </w:r>
      <w:r>
        <w:rPr>
          <w:sz w:val="21"/>
          <w:szCs w:val="21"/>
        </w:rPr>
        <w:t xml:space="preserve">React 18, Vite, Tailwind CSS, Radix UI, React Query, Framer Motion, TipTap rich text editor, Recharts, @dnd-kit, wouter router</w:t>
      </w:r>
    </w:p>
    <w:p>
      <w:pPr>
        <w:pStyle w:val="ListParagraph"/>
        <w:numPr>
          <w:ilvl w:val="0"/>
          <w:numId w:val="9"/>
        </w:numPr>
        <w:spacing w:after="60"/>
      </w:pPr>
      <w:r>
        <w:rPr>
          <w:b/>
          <w:bCs/>
          <w:sz w:val="21"/>
          <w:szCs w:val="21"/>
        </w:rPr>
        <w:t xml:space="preserve">Backend: </w:t>
      </w:r>
      <w:r>
        <w:rPr>
          <w:sz w:val="21"/>
          <w:szCs w:val="21"/>
        </w:rPr>
        <w:t xml:space="preserve">Express/Hono API server with 25 route modules, Drizzle ORM, Zod validation, pino logging</w:t>
      </w:r>
    </w:p>
    <w:p>
      <w:pPr>
        <w:pStyle w:val="ListParagraph"/>
        <w:numPr>
          <w:ilvl w:val="0"/>
          <w:numId w:val="9"/>
        </w:numPr>
        <w:spacing w:after="60"/>
      </w:pPr>
      <w:r>
        <w:rPr>
          <w:b/>
          <w:bCs/>
          <w:sz w:val="21"/>
          <w:szCs w:val="21"/>
        </w:rPr>
        <w:t xml:space="preserve">AI: </w:t>
      </w:r>
      <w:r>
        <w:rPr>
          <w:sz w:val="21"/>
          <w:szCs w:val="21"/>
        </w:rPr>
        <w:t xml:space="preserve">OpenAI GPT-4o (configurable base URL + API key) for page generation, copy, SEO, brand import</w:t>
      </w:r>
    </w:p>
    <w:p>
      <w:pPr>
        <w:pStyle w:val="ListParagraph"/>
        <w:numPr>
          <w:ilvl w:val="0"/>
          <w:numId w:val="9"/>
        </w:numPr>
        <w:spacing w:after="60"/>
      </w:pPr>
      <w:r>
        <w:rPr>
          <w:b/>
          <w:bCs/>
          <w:sz w:val="21"/>
          <w:szCs w:val="21"/>
        </w:rPr>
        <w:t xml:space="preserve">Integrations: </w:t>
      </w:r>
      <w:r>
        <w:rPr>
          <w:sz w:val="21"/>
          <w:szCs w:val="21"/>
        </w:rPr>
        <w:t xml:space="preserve">Google Cloud Storage, Google Sheets API, geoip-lite, Salesforce, Marketo, webhooks</w:t>
      </w:r>
    </w:p>
    <w:p>
      <w:r>
        <w:br w:type="page"/>
      </w:r>
    </w:p>
    <w:p>
      <w:pPr>
        <w:pStyle w:val="Heading2"/>
      </w:pPr>
      <w:r>
        <w:t xml:space="preserve">2.2 Dandy-Ent: Features to Migrate</w:t>
      </w:r>
    </w:p>
    <w:p>
      <w:pPr>
        <w:spacing w:after="120"/>
      </w:pPr>
      <w:r>
        <w:rPr>
          <w:sz w:val="22"/>
          <w:szCs w:val="22"/>
        </w:rPr>
        <w:t xml:space="preserve">The dandy-ent codebase contains powerful sales enablement features that should be consolidated into LP Studio. Below are the capabilities worth migrating, with recommended integration approach.</w:t>
      </w:r>
    </w:p>
    <w:p>
      <w:pPr>
        <w:pStyle w:val="Heading3"/>
      </w:pPr>
      <w:r>
        <w:t xml:space="preserve">Microsite Engine (5 Branded Skins)</w:t>
      </w:r>
    </w:p>
    <w:p>
      <w:pPr>
        <w:spacing w:after="120"/>
      </w:pPr>
      <w:r>
        <w:rPr>
          <w:sz w:val="22"/>
          <w:szCs w:val="22"/>
        </w:rPr>
        <w:t xml:space="preserve">Five production-quality microsite themes (Flagship, Expansion, Heartland, Dandy, Solutions) with shared section architecture: hero, problem, solution, metrics bar, comparison table, case studies, ROI calculator, lab tour, CTA, and footer. Each skin supports inline WYSIWYG editing, custom sections, A/B variant assignment, and personalization tokens ({company_name}, {practice_count}).</w:t>
      </w:r>
    </w:p>
    <w:p>
      <w:pPr>
        <w:spacing w:after="80"/>
      </w:pPr>
      <w:r>
        <w:rPr>
          <w:b/>
          <w:bCs/>
          <w:sz w:val="22"/>
          <w:szCs w:val="22"/>
        </w:rPr>
        <w:t xml:space="preserve">Migration: </w:t>
      </w:r>
      <w:r>
        <w:rPr>
          <w:sz w:val="22"/>
          <w:szCs w:val="22"/>
        </w:rPr>
        <w:t xml:space="preserve">Port skins as LP Studio page templates. The block-based builder can render them natively. MicrositeSkinEditor becomes a “template customizer” feature.</w:t>
      </w:r>
    </w:p>
    <w:p>
      <w:pPr>
        <w:spacing w:after="80"/>
      </w:pPr>
    </w:p>
    <w:p>
      <w:pPr>
        <w:pStyle w:val="Heading3"/>
      </w:pPr>
      <w:r>
        <w:t xml:space="preserve">AI Account Briefing</w:t>
      </w:r>
    </w:p>
    <w:p>
      <w:pPr>
        <w:spacing w:after="120"/>
      </w:pPr>
      <w:r>
        <w:rPr>
          <w:sz w:val="22"/>
          <w:szCs w:val="22"/>
        </w:rPr>
        <w:t xml:space="preserve">AI-generated prospect intelligence using Google Gemini 2.5 Pro. Takes company name + target account data and generates: company overview, leadership profiles, recent news with relevance annotations, buying committee personas with pain points, Dandy fit analysis (value props, objections, pilot approach), and recommended next actions. Integrates with news APIs and LinkedIn enrichment.</w:t>
      </w:r>
    </w:p>
    <w:p>
      <w:pPr>
        <w:spacing w:after="80"/>
      </w:pPr>
      <w:r>
        <w:rPr>
          <w:b/>
          <w:bCs/>
          <w:sz w:val="22"/>
          <w:szCs w:val="22"/>
        </w:rPr>
        <w:t xml:space="preserve">Migration: </w:t>
      </w:r>
      <w:r>
        <w:rPr>
          <w:sz w:val="22"/>
          <w:szCs w:val="22"/>
        </w:rPr>
        <w:t xml:space="preserve">Generalize the AI briefing engine to work for any industry. Becomes an “AI Content Brief” feature — feed it an account, get a complete content strategy.</w:t>
      </w:r>
    </w:p>
    <w:p>
      <w:pPr>
        <w:spacing w:after="80"/>
      </w:pPr>
    </w:p>
    <w:p>
      <w:pPr>
        <w:pStyle w:val="Heading3"/>
      </w:pPr>
      <w:r>
        <w:t xml:space="preserve">ROI Calculators (3 Types)</w:t>
      </w:r>
    </w:p>
    <w:p>
      <w:pPr>
        <w:spacing w:after="120"/>
      </w:pPr>
      <w:r>
        <w:rPr>
          <w:sz w:val="22"/>
          <w:szCs w:val="22"/>
        </w:rPr>
        <w:t xml:space="preserve">Interactive ROI calculators that quantify value for prospects: Invisible Waste Calculator (denture + crown economics), KCYS Calculator (case acceptance uplift), Unified Calculator (multi-service-line aggregate). All support practice-count scaling, three scenario levels (low/medium/high), and PDF export.</w:t>
      </w:r>
    </w:p>
    <w:p>
      <w:pPr>
        <w:spacing w:after="80"/>
      </w:pPr>
      <w:r>
        <w:rPr>
          <w:b/>
          <w:bCs/>
          <w:sz w:val="22"/>
          <w:szCs w:val="22"/>
        </w:rPr>
        <w:t xml:space="preserve">Migration: </w:t>
      </w:r>
      <w:r>
        <w:rPr>
          <w:sz w:val="22"/>
          <w:szCs w:val="22"/>
        </w:rPr>
        <w:t xml:space="preserve">Build a generic “ROI Calculator Block” for the page builder. Users configure inputs, formulas, and output fields. Embeddable in any landing page.</w:t>
      </w:r>
    </w:p>
    <w:p>
      <w:pPr>
        <w:spacing w:after="80"/>
      </w:pPr>
    </w:p>
    <w:p>
      <w:pPr>
        <w:pStyle w:val="Heading3"/>
      </w:pPr>
      <w:r>
        <w:t xml:space="preserve">One-Pager PDF Generator</w:t>
      </w:r>
    </w:p>
    <w:p>
      <w:pPr>
        <w:spacing w:after="120"/>
      </w:pPr>
      <w:r>
        <w:rPr>
          <w:sz w:val="22"/>
          <w:szCs w:val="22"/>
        </w:rPr>
        <w:t xml:space="preserve">Generates audience-specific (executive, clinical, practice manager) one-pagers with PDF export. Supports 4 content types: pilot program, comparison, new partner, ROI. Features prospect company/logo integration, team contact cards, QR codes, customizable fonts/colors/spacing, and layout template saving.</w:t>
      </w:r>
    </w:p>
    <w:p>
      <w:pPr>
        <w:spacing w:after="80"/>
      </w:pPr>
      <w:r>
        <w:rPr>
          <w:b/>
          <w:bCs/>
          <w:sz w:val="22"/>
          <w:szCs w:val="22"/>
        </w:rPr>
        <w:t xml:space="preserve">Migration: </w:t>
      </w:r>
      <w:r>
        <w:rPr>
          <w:sz w:val="22"/>
          <w:szCs w:val="22"/>
        </w:rPr>
        <w:t xml:space="preserve">Becomes an “Export to PDF” feature for any landing page. Plus a standalone “Sales Collateral Generator” that creates one-pagers from templates.</w:t>
      </w:r>
    </w:p>
    <w:p>
      <w:pPr>
        <w:spacing w:after="80"/>
      </w:pPr>
    </w:p>
    <w:p>
      <w:pPr>
        <w:pStyle w:val="Heading3"/>
      </w:pPr>
      <w:r>
        <w:t xml:space="preserve">Email Marketing Suite</w:t>
      </w:r>
    </w:p>
    <w:p>
      <w:pPr>
        <w:pStyle w:val="ListParagraph"/>
        <w:numPr>
          <w:ilvl w:val="0"/>
          <w:numId w:val="10"/>
        </w:numPr>
        <w:spacing w:after="60"/>
      </w:pPr>
      <w:r>
        <w:rPr>
          <w:b/>
          <w:bCs/>
          <w:sz w:val="21"/>
          <w:szCs w:val="21"/>
        </w:rPr>
        <w:t xml:space="preserve">Campaign Manager: </w:t>
      </w:r>
      <w:r>
        <w:rPr>
          <w:sz w:val="21"/>
          <w:szCs w:val="21"/>
        </w:rPr>
        <w:t xml:space="preserve">List builder (filter 500K+ contacts by company, title, department, DSO size), template editor (TipTap WYSIWYG with HTML/plain text), campaign builder with UTM tracking, A/B testing (two templates), scheduling, and performance dashboard.</w:t>
      </w:r>
    </w:p>
    <w:p>
      <w:pPr>
        <w:pStyle w:val="ListParagraph"/>
        <w:numPr>
          <w:ilvl w:val="0"/>
          <w:numId w:val="10"/>
        </w:numPr>
        <w:spacing w:after="60"/>
      </w:pPr>
      <w:r>
        <w:rPr>
          <w:b/>
          <w:bCs/>
          <w:sz w:val="21"/>
          <w:szCs w:val="21"/>
        </w:rPr>
        <w:t xml:space="preserve">Email Tracking: </w:t>
      </w:r>
      <w:r>
        <w:rPr>
          <w:sz w:val="21"/>
          <w:szCs w:val="21"/>
        </w:rPr>
        <w:t xml:space="preserve">Pixel-based open tracking, link redirect click tracking, per-recipient delivery status (pending/sent/bounced), engagement metrics.</w:t>
      </w:r>
    </w:p>
    <w:p>
      <w:pPr>
        <w:pStyle w:val="ListParagraph"/>
        <w:numPr>
          <w:ilvl w:val="0"/>
          <w:numId w:val="10"/>
        </w:numPr>
        <w:spacing w:after="60"/>
      </w:pPr>
      <w:r>
        <w:rPr>
          <w:b/>
          <w:bCs/>
          <w:sz w:val="21"/>
          <w:szCs w:val="21"/>
        </w:rPr>
        <w:t xml:space="preserve">AI Email Generation: </w:t>
      </w:r>
      <w:r>
        <w:rPr>
          <w:sz w:val="21"/>
          <w:szCs w:val="21"/>
        </w:rPr>
        <w:t xml:space="preserve">Gemini 2.5 Pro generates personalized cold outreach emails from prospect context and value props.</w:t>
      </w:r>
    </w:p>
    <w:p>
      <w:pPr>
        <w:pStyle w:val="ListParagraph"/>
        <w:numPr>
          <w:ilvl w:val="0"/>
          <w:numId w:val="10"/>
        </w:numPr>
        <w:spacing w:after="60"/>
      </w:pPr>
      <w:r>
        <w:rPr>
          <w:b/>
          <w:bCs/>
          <w:sz w:val="21"/>
          <w:szCs w:val="21"/>
        </w:rPr>
        <w:t xml:space="preserve">Compliance: </w:t>
      </w:r>
      <w:r>
        <w:rPr>
          <w:sz w:val="21"/>
          <w:szCs w:val="21"/>
        </w:rPr>
        <w:t xml:space="preserve">Unsubscribe handling, email suppression list (bounce/complaint/manual), per-microsite alert email subscriptions.</w:t>
      </w:r>
    </w:p>
    <w:p>
      <w:pPr>
        <w:spacing w:after="80"/>
      </w:pPr>
      <w:r>
        <w:rPr>
          <w:b/>
          <w:bCs/>
          <w:sz w:val="22"/>
          <w:szCs w:val="22"/>
        </w:rPr>
        <w:t xml:space="preserve">Migration: </w:t>
      </w:r>
      <w:r>
        <w:rPr>
          <w:sz w:val="22"/>
          <w:szCs w:val="22"/>
        </w:rPr>
        <w:t xml:space="preserve">Email builder becomes an LP Studio module. Lead form submissions trigger email sequences. Campaign management integrates with the existing lead pipeline.</w:t>
      </w:r>
    </w:p>
    <w:p>
      <w:pPr>
        <w:spacing w:after="80"/>
      </w:pPr>
    </w:p>
    <w:p>
      <w:pPr>
        <w:pStyle w:val="Heading3"/>
      </w:pPr>
      <w:r>
        <w:t xml:space="preserve">Real-Time Engagement Signals</w:t>
      </w:r>
    </w:p>
    <w:p>
      <w:pPr>
        <w:pStyle w:val="ListParagraph"/>
        <w:numPr>
          <w:ilvl w:val="0"/>
          <w:numId w:val="11"/>
        </w:numPr>
        <w:spacing w:after="60"/>
      </w:pPr>
      <w:r>
        <w:rPr>
          <w:b/>
          <w:bCs/>
          <w:sz w:val="21"/>
          <w:szCs w:val="21"/>
        </w:rPr>
        <w:t xml:space="preserve">Hotlinks: </w:t>
      </w:r>
      <w:r>
        <w:rPr>
          <w:sz w:val="21"/>
          <w:szCs w:val="21"/>
        </w:rPr>
        <w:t xml:space="preserve">Generate unique 8-character token URLs for individual prospects. Attribute every view and click back to a specific person.</w:t>
      </w:r>
    </w:p>
    <w:p>
      <w:pPr>
        <w:pStyle w:val="ListParagraph"/>
        <w:numPr>
          <w:ilvl w:val="0"/>
          <w:numId w:val="11"/>
        </w:numPr>
        <w:spacing w:after="60"/>
      </w:pPr>
      <w:r>
        <w:rPr>
          <w:b/>
          <w:bCs/>
          <w:sz w:val="21"/>
          <w:szCs w:val="21"/>
        </w:rPr>
        <w:t xml:space="preserve">Alert System: </w:t>
      </w:r>
      <w:r>
        <w:rPr>
          <w:sz w:val="21"/>
          <w:szCs w:val="21"/>
        </w:rPr>
        <w:t xml:space="preserve">Real-time Supabase Realtime subscriptions. Triggers on page visit, hotlink visit, CTA click, practice signup. WebSocket push to sales rep dashboards.</w:t>
      </w:r>
    </w:p>
    <w:p>
      <w:pPr>
        <w:pStyle w:val="ListParagraph"/>
        <w:numPr>
          <w:ilvl w:val="0"/>
          <w:numId w:val="11"/>
        </w:numPr>
        <w:spacing w:after="60"/>
      </w:pPr>
      <w:r>
        <w:rPr>
          <w:b/>
          <w:bCs/>
          <w:sz w:val="21"/>
          <w:szCs w:val="21"/>
        </w:rPr>
        <w:t xml:space="preserve">Engagement Dashboard: </w:t>
      </w:r>
      <w:r>
        <w:rPr>
          <w:sz w:val="21"/>
          <w:szCs w:val="21"/>
        </w:rPr>
        <w:t xml:space="preserve">Cross-microsite analytics showing total views, 7-day trends, daily sparklines, CTA click rates, and per-prospect attribution.</w:t>
      </w:r>
    </w:p>
    <w:p>
      <w:pPr>
        <w:spacing w:after="80"/>
      </w:pPr>
      <w:r>
        <w:rPr>
          <w:b/>
          <w:bCs/>
          <w:sz w:val="22"/>
          <w:szCs w:val="22"/>
        </w:rPr>
        <w:t xml:space="preserve">Migration: </w:t>
      </w:r>
      <w:r>
        <w:rPr>
          <w:sz w:val="22"/>
          <w:szCs w:val="22"/>
        </w:rPr>
        <w:t xml:space="preserve">Hotlinks become “Personalized Links” — generate unique URLs for any landing page. Alert system powers a “Sales Signals” notification center.</w:t>
      </w:r>
    </w:p>
    <w:p>
      <w:pPr>
        <w:spacing w:after="80"/>
      </w:pPr>
    </w:p>
    <w:p>
      <w:pPr>
        <w:pStyle w:val="Heading3"/>
      </w:pPr>
      <w:r>
        <w:t xml:space="preserve">Contact Database</w:t>
      </w:r>
    </w:p>
    <w:p>
      <w:pPr>
        <w:spacing w:after="120"/>
      </w:pPr>
      <w:r>
        <w:rPr>
          <w:sz w:val="22"/>
          <w:szCs w:val="22"/>
        </w:rPr>
        <w:t xml:space="preserve">500K+ imported contacts with Salesforce ID mapping, bulk CSV/Excel import with deduplication, filtering by company/title level/department/DSO size/PE firm, and one-click AI email generation per contact.</w:t>
      </w:r>
    </w:p>
    <w:p>
      <w:pPr>
        <w:spacing w:after="80"/>
      </w:pPr>
      <w:r>
        <w:rPr>
          <w:b/>
          <w:bCs/>
          <w:sz w:val="22"/>
          <w:szCs w:val="22"/>
        </w:rPr>
        <w:t xml:space="preserve">Migration: </w:t>
      </w:r>
      <w:r>
        <w:rPr>
          <w:sz w:val="22"/>
          <w:szCs w:val="22"/>
        </w:rPr>
        <w:t xml:space="preserve">Lightweight CRM/contacts feature. Import contacts, segment audiences, personalize landing pages and emails by account.</w:t>
      </w:r>
    </w:p>
    <w:p>
      <w:r>
        <w:br w:type="page"/>
      </w:r>
    </w:p>
    <w:p>
      <w:pPr>
        <w:pStyle w:val="Heading1"/>
      </w:pPr>
      <w:r>
        <w:t xml:space="preserve">3. Competitive Analysis</w:t>
      </w:r>
    </w:p>
    <w:p>
      <w:pPr>
        <w:pStyle w:val="Heading2"/>
      </w:pPr>
      <w:r>
        <w:t xml:space="preserve">3.1 Market Context</w:t>
      </w:r>
    </w:p>
    <w:p>
      <w:pPr>
        <w:spacing w:after="120"/>
      </w:pPr>
      <w:r>
        <w:rPr>
          <w:sz w:val="22"/>
          <w:szCs w:val="22"/>
        </w:rPr>
        <w:t xml:space="preserve">The landing page builder market is valued at $820M in 2026 and growing at 14–15% CAGR, projected to exceed $2.7B by 2035. 68% of digital marketing teams now use at least one landing page builder. 2026 is the inflection year where platforms shift from “AI tools for marketers” to “AI agents that execute GTM workflows.”</w:t>
      </w:r>
    </w:p>
    <w:p>
      <w:pPr>
        <w:spacing w:after="120"/>
      </w:pPr>
      <w:r>
        <w:rPr>
          <w:sz w:val="22"/>
          <w:szCs w:val="22"/>
        </w:rPr>
        <w:t xml:space="preserve">The market is bifurcating into four categories: legacy builders adding AI (Unbounce, Instapage, Leadpages), native AI platforms expanding into pages (Jasper, Copy.ai), vertical specialists (Replo for e-commerce, Mutiny for B2B ABM), and design-first builders adding AI (Webflow, Framer).</w:t>
      </w:r>
    </w:p>
    <w:p>
      <w:pPr>
        <w:spacing w:after="80"/>
      </w:pPr>
    </w:p>
    <w:p>
      <w:pPr>
        <w:pStyle w:val="Heading2"/>
      </w:pPr>
      <w:r>
        <w:t xml:space="preserve">3.2 Competitor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400"/>
        <w:gridCol w:w="2200"/>
        <w:gridCol w:w="1500"/>
        <w:gridCol w:w="2560"/>
      </w:tblGrid>
      <w:tr>
        <w:tc>
          <w:tcPr>
            <w:tcW w:type="dxa" w:w="1700"/>
            <w:tcBorders>
              <w:top w:val="single" w:color="CBD5E1" w:sz="1"/>
              <w:left w:val="single" w:color="CBD5E1" w:sz="1"/>
              <w:bottom w:val="single" w:color="CBD5E1" w:sz="1"/>
              <w:right w:val="single" w:color="CBD5E1" w:sz="1"/>
            </w:tcBorders>
            <w:shd w:fill="1E293B" w:val="clear"/>
            <w:tcMar>
              <w:top w:type="dxa" w:w="60"/>
              <w:left w:type="dxa" w:w="100"/>
              <w:bottom w:type="dxa" w:w="60"/>
              <w:right w:type="dxa" w:w="100"/>
            </w:tcMar>
          </w:tcPr>
          <w:p>
            <w:r>
              <w:rPr>
                <w:rFonts w:ascii="Arial" w:cs="Arial" w:eastAsia="Arial" w:hAnsi="Arial"/>
                <w:b/>
                <w:bCs/>
                <w:color w:val="FFFFFF"/>
                <w:sz w:val="19"/>
                <w:szCs w:val="19"/>
              </w:rPr>
              <w:t xml:space="preserve">Competitor</w:t>
            </w:r>
          </w:p>
        </w:tc>
        <w:tc>
          <w:tcPr>
            <w:tcW w:type="dxa" w:w="1400"/>
            <w:tcBorders>
              <w:top w:val="single" w:color="CBD5E1" w:sz="1"/>
              <w:left w:val="single" w:color="CBD5E1" w:sz="1"/>
              <w:bottom w:val="single" w:color="CBD5E1" w:sz="1"/>
              <w:right w:val="single" w:color="CBD5E1" w:sz="1"/>
            </w:tcBorders>
            <w:shd w:fill="1E293B" w:val="clear"/>
            <w:tcMar>
              <w:top w:type="dxa" w:w="60"/>
              <w:left w:type="dxa" w:w="100"/>
              <w:bottom w:type="dxa" w:w="60"/>
              <w:right w:type="dxa" w:w="100"/>
            </w:tcMar>
          </w:tcPr>
          <w:p>
            <w:r>
              <w:rPr>
                <w:rFonts w:ascii="Arial" w:cs="Arial" w:eastAsia="Arial" w:hAnsi="Arial"/>
                <w:b/>
                <w:bCs/>
                <w:color w:val="FFFFFF"/>
                <w:sz w:val="19"/>
                <w:szCs w:val="19"/>
              </w:rPr>
              <w:t xml:space="preserve">Pricing</w:t>
            </w:r>
          </w:p>
        </w:tc>
        <w:tc>
          <w:tcPr>
            <w:tcW w:type="dxa" w:w="2200"/>
            <w:tcBorders>
              <w:top w:val="single" w:color="CBD5E1" w:sz="1"/>
              <w:left w:val="single" w:color="CBD5E1" w:sz="1"/>
              <w:bottom w:val="single" w:color="CBD5E1" w:sz="1"/>
              <w:right w:val="single" w:color="CBD5E1" w:sz="1"/>
            </w:tcBorders>
            <w:shd w:fill="1E293B" w:val="clear"/>
            <w:tcMar>
              <w:top w:type="dxa" w:w="60"/>
              <w:left w:type="dxa" w:w="100"/>
              <w:bottom w:type="dxa" w:w="60"/>
              <w:right w:type="dxa" w:w="100"/>
            </w:tcMar>
          </w:tcPr>
          <w:p>
            <w:r>
              <w:rPr>
                <w:rFonts w:ascii="Arial" w:cs="Arial" w:eastAsia="Arial" w:hAnsi="Arial"/>
                <w:b/>
                <w:bCs/>
                <w:color w:val="FFFFFF"/>
                <w:sz w:val="19"/>
                <w:szCs w:val="19"/>
              </w:rPr>
              <w:t xml:space="preserve">Key Differentiator</w:t>
            </w:r>
          </w:p>
        </w:tc>
        <w:tc>
          <w:tcPr>
            <w:tcW w:type="dxa" w:w="1500"/>
            <w:tcBorders>
              <w:top w:val="single" w:color="CBD5E1" w:sz="1"/>
              <w:left w:val="single" w:color="CBD5E1" w:sz="1"/>
              <w:bottom w:val="single" w:color="CBD5E1" w:sz="1"/>
              <w:right w:val="single" w:color="CBD5E1" w:sz="1"/>
            </w:tcBorders>
            <w:shd w:fill="1E293B" w:val="clear"/>
            <w:tcMar>
              <w:top w:type="dxa" w:w="60"/>
              <w:left w:type="dxa" w:w="100"/>
              <w:bottom w:type="dxa" w:w="60"/>
              <w:right w:type="dxa" w:w="100"/>
            </w:tcMar>
          </w:tcPr>
          <w:p>
            <w:r>
              <w:rPr>
                <w:rFonts w:ascii="Arial" w:cs="Arial" w:eastAsia="Arial" w:hAnsi="Arial"/>
                <w:b/>
                <w:bCs/>
                <w:color w:val="FFFFFF"/>
                <w:sz w:val="19"/>
                <w:szCs w:val="19"/>
              </w:rPr>
              <w:t xml:space="preserve">AI Capabilities</w:t>
            </w:r>
          </w:p>
        </w:tc>
        <w:tc>
          <w:tcPr>
            <w:tcW w:type="dxa" w:w="2560"/>
            <w:tcBorders>
              <w:top w:val="single" w:color="CBD5E1" w:sz="1"/>
              <w:left w:val="single" w:color="CBD5E1" w:sz="1"/>
              <w:bottom w:val="single" w:color="CBD5E1" w:sz="1"/>
              <w:right w:val="single" w:color="CBD5E1" w:sz="1"/>
            </w:tcBorders>
            <w:shd w:fill="1E293B" w:val="clear"/>
            <w:tcMar>
              <w:top w:type="dxa" w:w="60"/>
              <w:left w:type="dxa" w:w="100"/>
              <w:bottom w:type="dxa" w:w="60"/>
              <w:right w:type="dxa" w:w="100"/>
            </w:tcMar>
          </w:tcPr>
          <w:p>
            <w:r>
              <w:rPr>
                <w:rFonts w:ascii="Arial" w:cs="Arial" w:eastAsia="Arial" w:hAnsi="Arial"/>
                <w:b/>
                <w:bCs/>
                <w:color w:val="FFFFFF"/>
                <w:sz w:val="19"/>
                <w:szCs w:val="19"/>
              </w:rPr>
              <w:t xml:space="preserve">Weakness</w:t>
            </w:r>
          </w:p>
        </w:tc>
      </w:tr>
      <w:tr>
        <w:tc>
          <w:tcPr>
            <w:tcW w:type="dxa" w:w="170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b/>
                <w:bCs/>
                <w:sz w:val="18"/>
                <w:szCs w:val="18"/>
              </w:rPr>
              <w:t xml:space="preserve">Unbounce</w:t>
            </w:r>
          </w:p>
        </w:tc>
        <w:tc>
          <w:tcPr>
            <w:tcW w:type="dxa" w:w="140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sz w:val="18"/>
                <w:szCs w:val="18"/>
              </w:rPr>
              <w:t xml:space="preserve">$99–249/mo</w:t>
            </w:r>
          </w:p>
        </w:tc>
        <w:tc>
          <w:tcPr>
            <w:tcW w:type="dxa" w:w="220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sz w:val="18"/>
                <w:szCs w:val="18"/>
              </w:rPr>
              <w:t xml:space="preserve">Smart Traffic (proprietary ML)</w:t>
            </w:r>
          </w:p>
        </w:tc>
        <w:tc>
          <w:tcPr>
            <w:tcW w:type="dxa" w:w="150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sz w:val="18"/>
                <w:szCs w:val="18"/>
              </w:rPr>
              <w:t xml:space="preserve">AI copywriting, Smart Builder</w:t>
            </w:r>
          </w:p>
        </w:tc>
        <w:tc>
          <w:tcPr>
            <w:tcW w:type="dxa" w:w="256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sz w:val="18"/>
                <w:szCs w:val="18"/>
              </w:rPr>
              <w:t xml:space="preserve">No built-in heatmaps, generic templates</w:t>
            </w:r>
          </w:p>
        </w:tc>
      </w:tr>
      <w:tr>
        <w:tc>
          <w:tcPr>
            <w:tcW w:type="dxa" w:w="1700"/>
            <w:tcBorders>
              <w:top w:val="single" w:color="CBD5E1" w:sz="1"/>
              <w:left w:val="single" w:color="CBD5E1" w:sz="1"/>
              <w:bottom w:val="single" w:color="CBD5E1" w:sz="1"/>
              <w:right w:val="single" w:color="CBD5E1" w:sz="1"/>
            </w:tcBorders>
            <w:shd w:fill="F1F5F9" w:val="clear"/>
            <w:tcMar>
              <w:top w:type="dxa" w:w="50"/>
              <w:left w:type="dxa" w:w="100"/>
              <w:bottom w:type="dxa" w:w="50"/>
              <w:right w:type="dxa" w:w="100"/>
            </w:tcMar>
          </w:tcPr>
          <w:p>
            <w:r>
              <w:rPr>
                <w:rFonts w:ascii="Arial" w:cs="Arial" w:eastAsia="Arial" w:hAnsi="Arial"/>
                <w:b/>
                <w:bCs/>
                <w:sz w:val="18"/>
                <w:szCs w:val="18"/>
              </w:rPr>
              <w:t xml:space="preserve">Instapage</w:t>
            </w:r>
          </w:p>
        </w:tc>
        <w:tc>
          <w:tcPr>
            <w:tcW w:type="dxa" w:w="1400"/>
            <w:tcBorders>
              <w:top w:val="single" w:color="CBD5E1" w:sz="1"/>
              <w:left w:val="single" w:color="CBD5E1" w:sz="1"/>
              <w:bottom w:val="single" w:color="CBD5E1" w:sz="1"/>
              <w:right w:val="single" w:color="CBD5E1" w:sz="1"/>
            </w:tcBorders>
            <w:shd w:fill="F1F5F9" w:val="clear"/>
            <w:tcMar>
              <w:top w:type="dxa" w:w="50"/>
              <w:left w:type="dxa" w:w="100"/>
              <w:bottom w:type="dxa" w:w="50"/>
              <w:right w:type="dxa" w:w="100"/>
            </w:tcMar>
          </w:tcPr>
          <w:p>
            <w:r>
              <w:rPr>
                <w:rFonts w:ascii="Arial" w:cs="Arial" w:eastAsia="Arial" w:hAnsi="Arial"/>
                <w:sz w:val="18"/>
                <w:szCs w:val="18"/>
              </w:rPr>
              <w:t xml:space="preserve">$199+/mo</w:t>
            </w:r>
          </w:p>
        </w:tc>
        <w:tc>
          <w:tcPr>
            <w:tcW w:type="dxa" w:w="2200"/>
            <w:tcBorders>
              <w:top w:val="single" w:color="CBD5E1" w:sz="1"/>
              <w:left w:val="single" w:color="CBD5E1" w:sz="1"/>
              <w:bottom w:val="single" w:color="CBD5E1" w:sz="1"/>
              <w:right w:val="single" w:color="CBD5E1" w:sz="1"/>
            </w:tcBorders>
            <w:shd w:fill="F1F5F9" w:val="clear"/>
            <w:tcMar>
              <w:top w:type="dxa" w:w="50"/>
              <w:left w:type="dxa" w:w="100"/>
              <w:bottom w:type="dxa" w:w="50"/>
              <w:right w:type="dxa" w:w="100"/>
            </w:tcMar>
          </w:tcPr>
          <w:p>
            <w:r>
              <w:rPr>
                <w:rFonts w:ascii="Arial" w:cs="Arial" w:eastAsia="Arial" w:hAnsi="Arial"/>
                <w:sz w:val="18"/>
                <w:szCs w:val="18"/>
              </w:rPr>
              <w:t xml:space="preserve">AdMap (campaign→page), enterprise collab</w:t>
            </w:r>
          </w:p>
        </w:tc>
        <w:tc>
          <w:tcPr>
            <w:tcW w:type="dxa" w:w="1500"/>
            <w:tcBorders>
              <w:top w:val="single" w:color="CBD5E1" w:sz="1"/>
              <w:left w:val="single" w:color="CBD5E1" w:sz="1"/>
              <w:bottom w:val="single" w:color="CBD5E1" w:sz="1"/>
              <w:right w:val="single" w:color="CBD5E1" w:sz="1"/>
            </w:tcBorders>
            <w:shd w:fill="F1F5F9" w:val="clear"/>
            <w:tcMar>
              <w:top w:type="dxa" w:w="50"/>
              <w:left w:type="dxa" w:w="100"/>
              <w:bottom w:type="dxa" w:w="50"/>
              <w:right w:type="dxa" w:w="100"/>
            </w:tcMar>
          </w:tcPr>
          <w:p>
            <w:r>
              <w:rPr>
                <w:rFonts w:ascii="Arial" w:cs="Arial" w:eastAsia="Arial" w:hAnsi="Arial"/>
                <w:sz w:val="18"/>
                <w:szCs w:val="18"/>
              </w:rPr>
              <w:t xml:space="preserve">AI content generation</w:t>
            </w:r>
          </w:p>
        </w:tc>
        <w:tc>
          <w:tcPr>
            <w:tcW w:type="dxa" w:w="2560"/>
            <w:tcBorders>
              <w:top w:val="single" w:color="CBD5E1" w:sz="1"/>
              <w:left w:val="single" w:color="CBD5E1" w:sz="1"/>
              <w:bottom w:val="single" w:color="CBD5E1" w:sz="1"/>
              <w:right w:val="single" w:color="CBD5E1" w:sz="1"/>
            </w:tcBorders>
            <w:shd w:fill="F1F5F9" w:val="clear"/>
            <w:tcMar>
              <w:top w:type="dxa" w:w="50"/>
              <w:left w:type="dxa" w:w="100"/>
              <w:bottom w:type="dxa" w:w="50"/>
              <w:right w:type="dxa" w:w="100"/>
            </w:tcMar>
          </w:tcPr>
          <w:p>
            <w:r>
              <w:rPr>
                <w:rFonts w:ascii="Arial" w:cs="Arial" w:eastAsia="Arial" w:hAnsi="Arial"/>
                <w:sz w:val="18"/>
                <w:szCs w:val="18"/>
              </w:rPr>
              <w:t xml:space="preserve">Expensive, no smart traffic</w:t>
            </w:r>
          </w:p>
        </w:tc>
      </w:tr>
      <w:tr>
        <w:tc>
          <w:tcPr>
            <w:tcW w:type="dxa" w:w="170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b/>
                <w:bCs/>
                <w:sz w:val="18"/>
                <w:szCs w:val="18"/>
              </w:rPr>
              <w:t xml:space="preserve">Leadpages</w:t>
            </w:r>
          </w:p>
        </w:tc>
        <w:tc>
          <w:tcPr>
            <w:tcW w:type="dxa" w:w="140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sz w:val="18"/>
                <w:szCs w:val="18"/>
              </w:rPr>
              <w:t xml:space="preserve">$49–697/mo</w:t>
            </w:r>
          </w:p>
        </w:tc>
        <w:tc>
          <w:tcPr>
            <w:tcW w:type="dxa" w:w="220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sz w:val="18"/>
                <w:szCs w:val="18"/>
              </w:rPr>
              <w:t xml:space="preserve">Unlimited traffic, most affordable</w:t>
            </w:r>
          </w:p>
        </w:tc>
        <w:tc>
          <w:tcPr>
            <w:tcW w:type="dxa" w:w="150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sz w:val="18"/>
                <w:szCs w:val="18"/>
              </w:rPr>
              <w:t xml:space="preserve">AI Engine for copy</w:t>
            </w:r>
          </w:p>
        </w:tc>
        <w:tc>
          <w:tcPr>
            <w:tcW w:type="dxa" w:w="256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sz w:val="18"/>
                <w:szCs w:val="18"/>
              </w:rPr>
              <w:t xml:space="preserve">A/B only (no multivariate), basic analytics</w:t>
            </w:r>
          </w:p>
        </w:tc>
      </w:tr>
      <w:tr>
        <w:tc>
          <w:tcPr>
            <w:tcW w:type="dxa" w:w="1700"/>
            <w:tcBorders>
              <w:top w:val="single" w:color="CBD5E1" w:sz="1"/>
              <w:left w:val="single" w:color="CBD5E1" w:sz="1"/>
              <w:bottom w:val="single" w:color="CBD5E1" w:sz="1"/>
              <w:right w:val="single" w:color="CBD5E1" w:sz="1"/>
            </w:tcBorders>
            <w:shd w:fill="F1F5F9" w:val="clear"/>
            <w:tcMar>
              <w:top w:type="dxa" w:w="50"/>
              <w:left w:type="dxa" w:w="100"/>
              <w:bottom w:type="dxa" w:w="50"/>
              <w:right w:type="dxa" w:w="100"/>
            </w:tcMar>
          </w:tcPr>
          <w:p>
            <w:r>
              <w:rPr>
                <w:rFonts w:ascii="Arial" w:cs="Arial" w:eastAsia="Arial" w:hAnsi="Arial"/>
                <w:b/>
                <w:bCs/>
                <w:sz w:val="18"/>
                <w:szCs w:val="18"/>
              </w:rPr>
              <w:t xml:space="preserve">Replo</w:t>
            </w:r>
          </w:p>
        </w:tc>
        <w:tc>
          <w:tcPr>
            <w:tcW w:type="dxa" w:w="1400"/>
            <w:tcBorders>
              <w:top w:val="single" w:color="CBD5E1" w:sz="1"/>
              <w:left w:val="single" w:color="CBD5E1" w:sz="1"/>
              <w:bottom w:val="single" w:color="CBD5E1" w:sz="1"/>
              <w:right w:val="single" w:color="CBD5E1" w:sz="1"/>
            </w:tcBorders>
            <w:shd w:fill="F1F5F9" w:val="clear"/>
            <w:tcMar>
              <w:top w:type="dxa" w:w="50"/>
              <w:left w:type="dxa" w:w="100"/>
              <w:bottom w:type="dxa" w:w="50"/>
              <w:right w:type="dxa" w:w="100"/>
            </w:tcMar>
          </w:tcPr>
          <w:p>
            <w:r>
              <w:rPr>
                <w:rFonts w:ascii="Arial" w:cs="Arial" w:eastAsia="Arial" w:hAnsi="Arial"/>
                <w:sz w:val="18"/>
                <w:szCs w:val="18"/>
              </w:rPr>
              <w:t xml:space="preserve">$119–599/mo</w:t>
            </w:r>
          </w:p>
        </w:tc>
        <w:tc>
          <w:tcPr>
            <w:tcW w:type="dxa" w:w="2200"/>
            <w:tcBorders>
              <w:top w:val="single" w:color="CBD5E1" w:sz="1"/>
              <w:left w:val="single" w:color="CBD5E1" w:sz="1"/>
              <w:bottom w:val="single" w:color="CBD5E1" w:sz="1"/>
              <w:right w:val="single" w:color="CBD5E1" w:sz="1"/>
            </w:tcBorders>
            <w:shd w:fill="F1F5F9" w:val="clear"/>
            <w:tcMar>
              <w:top w:type="dxa" w:w="50"/>
              <w:left w:type="dxa" w:w="100"/>
              <w:bottom w:type="dxa" w:w="50"/>
              <w:right w:type="dxa" w:w="100"/>
            </w:tcMar>
          </w:tcPr>
          <w:p>
            <w:r>
              <w:rPr>
                <w:rFonts w:ascii="Arial" w:cs="Arial" w:eastAsia="Arial" w:hAnsi="Arial"/>
                <w:sz w:val="18"/>
                <w:szCs w:val="18"/>
              </w:rPr>
              <w:t xml:space="preserve">Shopify-native, e-commerce focused</w:t>
            </w:r>
          </w:p>
        </w:tc>
        <w:tc>
          <w:tcPr>
            <w:tcW w:type="dxa" w:w="1500"/>
            <w:tcBorders>
              <w:top w:val="single" w:color="CBD5E1" w:sz="1"/>
              <w:left w:val="single" w:color="CBD5E1" w:sz="1"/>
              <w:bottom w:val="single" w:color="CBD5E1" w:sz="1"/>
              <w:right w:val="single" w:color="CBD5E1" w:sz="1"/>
            </w:tcBorders>
            <w:shd w:fill="F1F5F9" w:val="clear"/>
            <w:tcMar>
              <w:top w:type="dxa" w:w="50"/>
              <w:left w:type="dxa" w:w="100"/>
              <w:bottom w:type="dxa" w:w="50"/>
              <w:right w:type="dxa" w:w="100"/>
            </w:tcMar>
          </w:tcPr>
          <w:p>
            <w:r>
              <w:rPr>
                <w:rFonts w:ascii="Arial" w:cs="Arial" w:eastAsia="Arial" w:hAnsi="Arial"/>
                <w:sz w:val="18"/>
                <w:szCs w:val="18"/>
              </w:rPr>
              <w:t xml:space="preserve">AI page generation</w:t>
            </w:r>
          </w:p>
        </w:tc>
        <w:tc>
          <w:tcPr>
            <w:tcW w:type="dxa" w:w="2560"/>
            <w:tcBorders>
              <w:top w:val="single" w:color="CBD5E1" w:sz="1"/>
              <w:left w:val="single" w:color="CBD5E1" w:sz="1"/>
              <w:bottom w:val="single" w:color="CBD5E1" w:sz="1"/>
              <w:right w:val="single" w:color="CBD5E1" w:sz="1"/>
            </w:tcBorders>
            <w:shd w:fill="F1F5F9" w:val="clear"/>
            <w:tcMar>
              <w:top w:type="dxa" w:w="50"/>
              <w:left w:type="dxa" w:w="100"/>
              <w:bottom w:type="dxa" w:w="50"/>
              <w:right w:type="dxa" w:w="100"/>
            </w:tcMar>
          </w:tcPr>
          <w:p>
            <w:r>
              <w:rPr>
                <w:rFonts w:ascii="Arial" w:cs="Arial" w:eastAsia="Arial" w:hAnsi="Arial"/>
                <w:sz w:val="18"/>
                <w:szCs w:val="18"/>
              </w:rPr>
              <w:t xml:space="preserve">E-commerce only, no testing engine</w:t>
            </w:r>
          </w:p>
        </w:tc>
      </w:tr>
      <w:tr>
        <w:tc>
          <w:tcPr>
            <w:tcW w:type="dxa" w:w="170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b/>
                <w:bCs/>
                <w:sz w:val="18"/>
                <w:szCs w:val="18"/>
              </w:rPr>
              <w:t xml:space="preserve">Mutiny</w:t>
            </w:r>
          </w:p>
        </w:tc>
        <w:tc>
          <w:tcPr>
            <w:tcW w:type="dxa" w:w="140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sz w:val="18"/>
                <w:szCs w:val="18"/>
              </w:rPr>
              <w:t xml:space="preserve">$1K+/mo</w:t>
            </w:r>
          </w:p>
        </w:tc>
        <w:tc>
          <w:tcPr>
            <w:tcW w:type="dxa" w:w="220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sz w:val="18"/>
                <w:szCs w:val="18"/>
              </w:rPr>
              <w:t xml:space="preserve">AI ABM personalization at scale</w:t>
            </w:r>
          </w:p>
        </w:tc>
        <w:tc>
          <w:tcPr>
            <w:tcW w:type="dxa" w:w="150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sz w:val="18"/>
                <w:szCs w:val="18"/>
              </w:rPr>
              <w:t xml:space="preserve">Real-time website personalization</w:t>
            </w:r>
          </w:p>
        </w:tc>
        <w:tc>
          <w:tcPr>
            <w:tcW w:type="dxa" w:w="256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sz w:val="18"/>
                <w:szCs w:val="18"/>
              </w:rPr>
              <w:t xml:space="preserve">Enterprise-only pricing, complex setup</w:t>
            </w:r>
          </w:p>
        </w:tc>
      </w:tr>
      <w:tr>
        <w:tc>
          <w:tcPr>
            <w:tcW w:type="dxa" w:w="1700"/>
            <w:tcBorders>
              <w:top w:val="single" w:color="CBD5E1" w:sz="1"/>
              <w:left w:val="single" w:color="CBD5E1" w:sz="1"/>
              <w:bottom w:val="single" w:color="CBD5E1" w:sz="1"/>
              <w:right w:val="single" w:color="CBD5E1" w:sz="1"/>
            </w:tcBorders>
            <w:shd w:fill="F1F5F9" w:val="clear"/>
            <w:tcMar>
              <w:top w:type="dxa" w:w="50"/>
              <w:left w:type="dxa" w:w="100"/>
              <w:bottom w:type="dxa" w:w="50"/>
              <w:right w:type="dxa" w:w="100"/>
            </w:tcMar>
          </w:tcPr>
          <w:p>
            <w:r>
              <w:rPr>
                <w:rFonts w:ascii="Arial" w:cs="Arial" w:eastAsia="Arial" w:hAnsi="Arial"/>
                <w:b/>
                <w:bCs/>
                <w:sz w:val="18"/>
                <w:szCs w:val="18"/>
              </w:rPr>
              <w:t xml:space="preserve">Jasper</w:t>
            </w:r>
          </w:p>
        </w:tc>
        <w:tc>
          <w:tcPr>
            <w:tcW w:type="dxa" w:w="1400"/>
            <w:tcBorders>
              <w:top w:val="single" w:color="CBD5E1" w:sz="1"/>
              <w:left w:val="single" w:color="CBD5E1" w:sz="1"/>
              <w:bottom w:val="single" w:color="CBD5E1" w:sz="1"/>
              <w:right w:val="single" w:color="CBD5E1" w:sz="1"/>
            </w:tcBorders>
            <w:shd w:fill="F1F5F9" w:val="clear"/>
            <w:tcMar>
              <w:top w:type="dxa" w:w="50"/>
              <w:left w:type="dxa" w:w="100"/>
              <w:bottom w:type="dxa" w:w="50"/>
              <w:right w:type="dxa" w:w="100"/>
            </w:tcMar>
          </w:tcPr>
          <w:p>
            <w:r>
              <w:rPr>
                <w:rFonts w:ascii="Arial" w:cs="Arial" w:eastAsia="Arial" w:hAnsi="Arial"/>
                <w:sz w:val="18"/>
                <w:szCs w:val="18"/>
              </w:rPr>
              <w:t xml:space="preserve">$49–custom</w:t>
            </w:r>
          </w:p>
        </w:tc>
        <w:tc>
          <w:tcPr>
            <w:tcW w:type="dxa" w:w="2200"/>
            <w:tcBorders>
              <w:top w:val="single" w:color="CBD5E1" w:sz="1"/>
              <w:left w:val="single" w:color="CBD5E1" w:sz="1"/>
              <w:bottom w:val="single" w:color="CBD5E1" w:sz="1"/>
              <w:right w:val="single" w:color="CBD5E1" w:sz="1"/>
            </w:tcBorders>
            <w:shd w:fill="F1F5F9" w:val="clear"/>
            <w:tcMar>
              <w:top w:type="dxa" w:w="50"/>
              <w:left w:type="dxa" w:w="100"/>
              <w:bottom w:type="dxa" w:w="50"/>
              <w:right w:type="dxa" w:w="100"/>
            </w:tcMar>
          </w:tcPr>
          <w:p>
            <w:r>
              <w:rPr>
                <w:rFonts w:ascii="Arial" w:cs="Arial" w:eastAsia="Arial" w:hAnsi="Arial"/>
                <w:sz w:val="18"/>
                <w:szCs w:val="18"/>
              </w:rPr>
              <w:t xml:space="preserve">Brand voice AI, content marketing OS</w:t>
            </w:r>
          </w:p>
        </w:tc>
        <w:tc>
          <w:tcPr>
            <w:tcW w:type="dxa" w:w="1500"/>
            <w:tcBorders>
              <w:top w:val="single" w:color="CBD5E1" w:sz="1"/>
              <w:left w:val="single" w:color="CBD5E1" w:sz="1"/>
              <w:bottom w:val="single" w:color="CBD5E1" w:sz="1"/>
              <w:right w:val="single" w:color="CBD5E1" w:sz="1"/>
            </w:tcBorders>
            <w:shd w:fill="F1F5F9" w:val="clear"/>
            <w:tcMar>
              <w:top w:type="dxa" w:w="50"/>
              <w:left w:type="dxa" w:w="100"/>
              <w:bottom w:type="dxa" w:w="50"/>
              <w:right w:type="dxa" w:w="100"/>
            </w:tcMar>
          </w:tcPr>
          <w:p>
            <w:r>
              <w:rPr>
                <w:rFonts w:ascii="Arial" w:cs="Arial" w:eastAsia="Arial" w:hAnsi="Arial"/>
                <w:sz w:val="18"/>
                <w:szCs w:val="18"/>
              </w:rPr>
              <w:t xml:space="preserve">Landing Page Agent, brand memory</w:t>
            </w:r>
          </w:p>
        </w:tc>
        <w:tc>
          <w:tcPr>
            <w:tcW w:type="dxa" w:w="2560"/>
            <w:tcBorders>
              <w:top w:val="single" w:color="CBD5E1" w:sz="1"/>
              <w:left w:val="single" w:color="CBD5E1" w:sz="1"/>
              <w:bottom w:val="single" w:color="CBD5E1" w:sz="1"/>
              <w:right w:val="single" w:color="CBD5E1" w:sz="1"/>
            </w:tcBorders>
            <w:shd w:fill="F1F5F9" w:val="clear"/>
            <w:tcMar>
              <w:top w:type="dxa" w:w="50"/>
              <w:left w:type="dxa" w:w="100"/>
              <w:bottom w:type="dxa" w:w="50"/>
              <w:right w:type="dxa" w:w="100"/>
            </w:tcMar>
          </w:tcPr>
          <w:p>
            <w:r>
              <w:rPr>
                <w:rFonts w:ascii="Arial" w:cs="Arial" w:eastAsia="Arial" w:hAnsi="Arial"/>
                <w:sz w:val="18"/>
                <w:szCs w:val="18"/>
              </w:rPr>
              <w:t xml:space="preserve">Not a true page builder, limited hosting</w:t>
            </w:r>
          </w:p>
        </w:tc>
      </w:tr>
      <w:tr>
        <w:tc>
          <w:tcPr>
            <w:tcW w:type="dxa" w:w="170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b/>
                <w:bCs/>
                <w:sz w:val="18"/>
                <w:szCs w:val="18"/>
              </w:rPr>
              <w:t xml:space="preserve">Copy.ai</w:t>
            </w:r>
          </w:p>
        </w:tc>
        <w:tc>
          <w:tcPr>
            <w:tcW w:type="dxa" w:w="140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sz w:val="18"/>
                <w:szCs w:val="18"/>
              </w:rPr>
              <w:t xml:space="preserve">$29–249/mo</w:t>
            </w:r>
          </w:p>
        </w:tc>
        <w:tc>
          <w:tcPr>
            <w:tcW w:type="dxa" w:w="220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sz w:val="18"/>
                <w:szCs w:val="18"/>
              </w:rPr>
              <w:t xml:space="preserve">GTM workflow automation, agentic AI</w:t>
            </w:r>
          </w:p>
        </w:tc>
        <w:tc>
          <w:tcPr>
            <w:tcW w:type="dxa" w:w="150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sz w:val="18"/>
                <w:szCs w:val="18"/>
              </w:rPr>
              <w:t xml:space="preserve">AI agents for GTM workflows</w:t>
            </w:r>
          </w:p>
        </w:tc>
        <w:tc>
          <w:tcPr>
            <w:tcW w:type="dxa" w:w="256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sz w:val="18"/>
                <w:szCs w:val="18"/>
              </w:rPr>
              <w:t xml:space="preserve">New to landing pages, limited builder</w:t>
            </w:r>
          </w:p>
        </w:tc>
      </w:tr>
      <w:tr>
        <w:tc>
          <w:tcPr>
            <w:tcW w:type="dxa" w:w="1700"/>
            <w:tcBorders>
              <w:top w:val="single" w:color="CBD5E1" w:sz="1"/>
              <w:left w:val="single" w:color="CBD5E1" w:sz="1"/>
              <w:bottom w:val="single" w:color="CBD5E1" w:sz="1"/>
              <w:right w:val="single" w:color="CBD5E1" w:sz="1"/>
            </w:tcBorders>
            <w:shd w:fill="F1F5F9" w:val="clear"/>
            <w:tcMar>
              <w:top w:type="dxa" w:w="50"/>
              <w:left w:type="dxa" w:w="100"/>
              <w:bottom w:type="dxa" w:w="50"/>
              <w:right w:type="dxa" w:w="100"/>
            </w:tcMar>
          </w:tcPr>
          <w:p>
            <w:r>
              <w:rPr>
                <w:rFonts w:ascii="Arial" w:cs="Arial" w:eastAsia="Arial" w:hAnsi="Arial"/>
                <w:b/>
                <w:bCs/>
                <w:sz w:val="18"/>
                <w:szCs w:val="18"/>
              </w:rPr>
              <w:t xml:space="preserve">HubSpot</w:t>
            </w:r>
          </w:p>
        </w:tc>
        <w:tc>
          <w:tcPr>
            <w:tcW w:type="dxa" w:w="1400"/>
            <w:tcBorders>
              <w:top w:val="single" w:color="CBD5E1" w:sz="1"/>
              <w:left w:val="single" w:color="CBD5E1" w:sz="1"/>
              <w:bottom w:val="single" w:color="CBD5E1" w:sz="1"/>
              <w:right w:val="single" w:color="CBD5E1" w:sz="1"/>
            </w:tcBorders>
            <w:shd w:fill="F1F5F9" w:val="clear"/>
            <w:tcMar>
              <w:top w:type="dxa" w:w="50"/>
              <w:left w:type="dxa" w:w="100"/>
              <w:bottom w:type="dxa" w:w="50"/>
              <w:right w:type="dxa" w:w="100"/>
            </w:tcMar>
          </w:tcPr>
          <w:p>
            <w:r>
              <w:rPr>
                <w:rFonts w:ascii="Arial" w:cs="Arial" w:eastAsia="Arial" w:hAnsi="Arial"/>
                <w:sz w:val="18"/>
                <w:szCs w:val="18"/>
              </w:rPr>
              <w:t xml:space="preserve">$450+/mo</w:t>
            </w:r>
          </w:p>
        </w:tc>
        <w:tc>
          <w:tcPr>
            <w:tcW w:type="dxa" w:w="2200"/>
            <w:tcBorders>
              <w:top w:val="single" w:color="CBD5E1" w:sz="1"/>
              <w:left w:val="single" w:color="CBD5E1" w:sz="1"/>
              <w:bottom w:val="single" w:color="CBD5E1" w:sz="1"/>
              <w:right w:val="single" w:color="CBD5E1" w:sz="1"/>
            </w:tcBorders>
            <w:shd w:fill="F1F5F9" w:val="clear"/>
            <w:tcMar>
              <w:top w:type="dxa" w:w="50"/>
              <w:left w:type="dxa" w:w="100"/>
              <w:bottom w:type="dxa" w:w="50"/>
              <w:right w:type="dxa" w:w="100"/>
            </w:tcMar>
          </w:tcPr>
          <w:p>
            <w:r>
              <w:rPr>
                <w:rFonts w:ascii="Arial" w:cs="Arial" w:eastAsia="Arial" w:hAnsi="Arial"/>
                <w:sz w:val="18"/>
                <w:szCs w:val="18"/>
              </w:rPr>
              <w:t xml:space="preserve">CRM-integrated, full marketing suite</w:t>
            </w:r>
          </w:p>
        </w:tc>
        <w:tc>
          <w:tcPr>
            <w:tcW w:type="dxa" w:w="1500"/>
            <w:tcBorders>
              <w:top w:val="single" w:color="CBD5E1" w:sz="1"/>
              <w:left w:val="single" w:color="CBD5E1" w:sz="1"/>
              <w:bottom w:val="single" w:color="CBD5E1" w:sz="1"/>
              <w:right w:val="single" w:color="CBD5E1" w:sz="1"/>
            </w:tcBorders>
            <w:shd w:fill="F1F5F9" w:val="clear"/>
            <w:tcMar>
              <w:top w:type="dxa" w:w="50"/>
              <w:left w:type="dxa" w:w="100"/>
              <w:bottom w:type="dxa" w:w="50"/>
              <w:right w:type="dxa" w:w="100"/>
            </w:tcMar>
          </w:tcPr>
          <w:p>
            <w:r>
              <w:rPr>
                <w:rFonts w:ascii="Arial" w:cs="Arial" w:eastAsia="Arial" w:hAnsi="Arial"/>
                <w:sz w:val="18"/>
                <w:szCs w:val="18"/>
              </w:rPr>
              <w:t xml:space="preserve">AI content assistant</w:t>
            </w:r>
          </w:p>
        </w:tc>
        <w:tc>
          <w:tcPr>
            <w:tcW w:type="dxa" w:w="2560"/>
            <w:tcBorders>
              <w:top w:val="single" w:color="CBD5E1" w:sz="1"/>
              <w:left w:val="single" w:color="CBD5E1" w:sz="1"/>
              <w:bottom w:val="single" w:color="CBD5E1" w:sz="1"/>
              <w:right w:val="single" w:color="CBD5E1" w:sz="1"/>
            </w:tcBorders>
            <w:shd w:fill="F1F5F9" w:val="clear"/>
            <w:tcMar>
              <w:top w:type="dxa" w:w="50"/>
              <w:left w:type="dxa" w:w="100"/>
              <w:bottom w:type="dxa" w:w="50"/>
              <w:right w:type="dxa" w:w="100"/>
            </w:tcMar>
          </w:tcPr>
          <w:p>
            <w:r>
              <w:rPr>
                <w:rFonts w:ascii="Arial" w:cs="Arial" w:eastAsia="Arial" w:hAnsi="Arial"/>
                <w:sz w:val="18"/>
                <w:szCs w:val="18"/>
              </w:rPr>
              <w:t xml:space="preserve">Expensive, basic page builder, lock-in</w:t>
            </w:r>
          </w:p>
        </w:tc>
      </w:tr>
      <w:tr>
        <w:tc>
          <w:tcPr>
            <w:tcW w:type="dxa" w:w="170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b/>
                <w:bCs/>
                <w:sz w:val="18"/>
                <w:szCs w:val="18"/>
              </w:rPr>
              <w:t xml:space="preserve">Webflow</w:t>
            </w:r>
          </w:p>
        </w:tc>
        <w:tc>
          <w:tcPr>
            <w:tcW w:type="dxa" w:w="140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sz w:val="18"/>
                <w:szCs w:val="18"/>
              </w:rPr>
              <w:t xml:space="preserve">$14–1049+/mo</w:t>
            </w:r>
          </w:p>
        </w:tc>
        <w:tc>
          <w:tcPr>
            <w:tcW w:type="dxa" w:w="220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sz w:val="18"/>
                <w:szCs w:val="18"/>
              </w:rPr>
              <w:t xml:space="preserve">Designer-first, AI Wireframer</w:t>
            </w:r>
          </w:p>
        </w:tc>
        <w:tc>
          <w:tcPr>
            <w:tcW w:type="dxa" w:w="150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sz w:val="18"/>
                <w:szCs w:val="18"/>
              </w:rPr>
              <w:t xml:space="preserve">AI layout generation</w:t>
            </w:r>
          </w:p>
        </w:tc>
        <w:tc>
          <w:tcPr>
            <w:tcW w:type="dxa" w:w="256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sz w:val="18"/>
                <w:szCs w:val="18"/>
              </w:rPr>
              <w:t xml:space="preserve">Steep learning curve, no A/B testing</w:t>
            </w:r>
          </w:p>
        </w:tc>
      </w:tr>
      <w:tr>
        <w:tc>
          <w:tcPr>
            <w:tcW w:type="dxa" w:w="1700"/>
            <w:tcBorders>
              <w:top w:val="single" w:color="CBD5E1" w:sz="1"/>
              <w:left w:val="single" w:color="CBD5E1" w:sz="1"/>
              <w:bottom w:val="single" w:color="CBD5E1" w:sz="1"/>
              <w:right w:val="single" w:color="CBD5E1" w:sz="1"/>
            </w:tcBorders>
            <w:shd w:fill="F1F5F9" w:val="clear"/>
            <w:tcMar>
              <w:top w:type="dxa" w:w="50"/>
              <w:left w:type="dxa" w:w="100"/>
              <w:bottom w:type="dxa" w:w="50"/>
              <w:right w:type="dxa" w:w="100"/>
            </w:tcMar>
          </w:tcPr>
          <w:p>
            <w:r>
              <w:rPr>
                <w:rFonts w:ascii="Arial" w:cs="Arial" w:eastAsia="Arial" w:hAnsi="Arial"/>
                <w:b/>
                <w:bCs/>
                <w:sz w:val="18"/>
                <w:szCs w:val="18"/>
              </w:rPr>
              <w:t xml:space="preserve">Framer</w:t>
            </w:r>
          </w:p>
        </w:tc>
        <w:tc>
          <w:tcPr>
            <w:tcW w:type="dxa" w:w="1400"/>
            <w:tcBorders>
              <w:top w:val="single" w:color="CBD5E1" w:sz="1"/>
              <w:left w:val="single" w:color="CBD5E1" w:sz="1"/>
              <w:bottom w:val="single" w:color="CBD5E1" w:sz="1"/>
              <w:right w:val="single" w:color="CBD5E1" w:sz="1"/>
            </w:tcBorders>
            <w:shd w:fill="F1F5F9" w:val="clear"/>
            <w:tcMar>
              <w:top w:type="dxa" w:w="50"/>
              <w:left w:type="dxa" w:w="100"/>
              <w:bottom w:type="dxa" w:w="50"/>
              <w:right w:type="dxa" w:w="100"/>
            </w:tcMar>
          </w:tcPr>
          <w:p>
            <w:r>
              <w:rPr>
                <w:rFonts w:ascii="Arial" w:cs="Arial" w:eastAsia="Arial" w:hAnsi="Arial"/>
                <w:sz w:val="18"/>
                <w:szCs w:val="18"/>
              </w:rPr>
              <w:t xml:space="preserve">$5–30/mo</w:t>
            </w:r>
          </w:p>
        </w:tc>
        <w:tc>
          <w:tcPr>
            <w:tcW w:type="dxa" w:w="2200"/>
            <w:tcBorders>
              <w:top w:val="single" w:color="CBD5E1" w:sz="1"/>
              <w:left w:val="single" w:color="CBD5E1" w:sz="1"/>
              <w:bottom w:val="single" w:color="CBD5E1" w:sz="1"/>
              <w:right w:val="single" w:color="CBD5E1" w:sz="1"/>
            </w:tcBorders>
            <w:shd w:fill="F1F5F9" w:val="clear"/>
            <w:tcMar>
              <w:top w:type="dxa" w:w="50"/>
              <w:left w:type="dxa" w:w="100"/>
              <w:bottom w:type="dxa" w:w="50"/>
              <w:right w:type="dxa" w:w="100"/>
            </w:tcMar>
          </w:tcPr>
          <w:p>
            <w:r>
              <w:rPr>
                <w:rFonts w:ascii="Arial" w:cs="Arial" w:eastAsia="Arial" w:hAnsi="Arial"/>
                <w:sz w:val="18"/>
                <w:szCs w:val="18"/>
              </w:rPr>
              <w:t xml:space="preserve">Most affordable, AI site builder</w:t>
            </w:r>
          </w:p>
        </w:tc>
        <w:tc>
          <w:tcPr>
            <w:tcW w:type="dxa" w:w="1500"/>
            <w:tcBorders>
              <w:top w:val="single" w:color="CBD5E1" w:sz="1"/>
              <w:left w:val="single" w:color="CBD5E1" w:sz="1"/>
              <w:bottom w:val="single" w:color="CBD5E1" w:sz="1"/>
              <w:right w:val="single" w:color="CBD5E1" w:sz="1"/>
            </w:tcBorders>
            <w:shd w:fill="F1F5F9" w:val="clear"/>
            <w:tcMar>
              <w:top w:type="dxa" w:w="50"/>
              <w:left w:type="dxa" w:w="100"/>
              <w:bottom w:type="dxa" w:w="50"/>
              <w:right w:type="dxa" w:w="100"/>
            </w:tcMar>
          </w:tcPr>
          <w:p>
            <w:r>
              <w:rPr>
                <w:rFonts w:ascii="Arial" w:cs="Arial" w:eastAsia="Arial" w:hAnsi="Arial"/>
                <w:sz w:val="18"/>
                <w:szCs w:val="18"/>
              </w:rPr>
              <w:t xml:space="preserve">AI layout + copy</w:t>
            </w:r>
          </w:p>
        </w:tc>
        <w:tc>
          <w:tcPr>
            <w:tcW w:type="dxa" w:w="2560"/>
            <w:tcBorders>
              <w:top w:val="single" w:color="CBD5E1" w:sz="1"/>
              <w:left w:val="single" w:color="CBD5E1" w:sz="1"/>
              <w:bottom w:val="single" w:color="CBD5E1" w:sz="1"/>
              <w:right w:val="single" w:color="CBD5E1" w:sz="1"/>
            </w:tcBorders>
            <w:shd w:fill="F1F5F9" w:val="clear"/>
            <w:tcMar>
              <w:top w:type="dxa" w:w="50"/>
              <w:left w:type="dxa" w:w="100"/>
              <w:bottom w:type="dxa" w:w="50"/>
              <w:right w:type="dxa" w:w="100"/>
            </w:tcMar>
          </w:tcPr>
          <w:p>
            <w:r>
              <w:rPr>
                <w:rFonts w:ascii="Arial" w:cs="Arial" w:eastAsia="Arial" w:hAnsi="Arial"/>
                <w:sz w:val="18"/>
                <w:szCs w:val="18"/>
              </w:rPr>
              <w:t xml:space="preserve">No testing, no analytics, design-first</w:t>
            </w:r>
          </w:p>
        </w:tc>
      </w:tr>
    </w:tbl>
    <w:p>
      <w:pPr>
        <w:spacing w:after="80"/>
      </w:pPr>
    </w:p>
    <w:p>
      <w:pPr>
        <w:pStyle w:val="Heading2"/>
      </w:pPr>
      <w:r>
        <w:t xml:space="preserve">3.3 Feature Comparison: LP Studio vs. The Field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160"/>
        <w:gridCol w:w="1160"/>
        <w:gridCol w:w="1160"/>
        <w:gridCol w:w="1160"/>
        <w:gridCol w:w="1160"/>
        <w:gridCol w:w="1160"/>
      </w:tblGrid>
      <w:tr>
        <w:tc>
          <w:tcPr>
            <w:tcW w:type="dxa" w:w="2400"/>
            <w:tcBorders>
              <w:top w:val="single" w:color="CBD5E1" w:sz="1"/>
              <w:left w:val="single" w:color="CBD5E1" w:sz="1"/>
              <w:bottom w:val="single" w:color="CBD5E1" w:sz="1"/>
              <w:right w:val="single" w:color="CBD5E1" w:sz="1"/>
            </w:tcBorders>
            <w:shd w:fill="1E293B" w:val="clear"/>
            <w:tcMar>
              <w:top w:type="dxa" w:w="60"/>
              <w:left w:type="dxa" w:w="100"/>
              <w:bottom w:type="dxa" w:w="60"/>
              <w:right w:type="dxa" w:w="100"/>
            </w:tcMar>
          </w:tcPr>
          <w:p>
            <w:r>
              <w:rPr>
                <w:rFonts w:ascii="Arial" w:cs="Arial" w:eastAsia="Arial" w:hAnsi="Arial"/>
                <w:b/>
                <w:bCs/>
                <w:color w:val="FFFFFF"/>
                <w:sz w:val="19"/>
                <w:szCs w:val="19"/>
              </w:rPr>
              <w:t xml:space="preserve">Capability</w:t>
            </w:r>
          </w:p>
        </w:tc>
        <w:tc>
          <w:tcPr>
            <w:tcW w:type="dxa" w:w="1160"/>
            <w:tcBorders>
              <w:top w:val="single" w:color="CBD5E1" w:sz="1"/>
              <w:left w:val="single" w:color="CBD5E1" w:sz="1"/>
              <w:bottom w:val="single" w:color="CBD5E1" w:sz="1"/>
              <w:right w:val="single" w:color="CBD5E1" w:sz="1"/>
            </w:tcBorders>
            <w:shd w:fill="1E293B" w:val="clear"/>
            <w:tcMar>
              <w:top w:type="dxa" w:w="60"/>
              <w:left w:type="dxa" w:w="100"/>
              <w:bottom w:type="dxa" w:w="60"/>
              <w:right w:type="dxa" w:w="100"/>
            </w:tcMar>
          </w:tcPr>
          <w:p>
            <w:r>
              <w:rPr>
                <w:rFonts w:ascii="Arial" w:cs="Arial" w:eastAsia="Arial" w:hAnsi="Arial"/>
                <w:b/>
                <w:bCs/>
                <w:color w:val="FFFFFF"/>
                <w:sz w:val="19"/>
                <w:szCs w:val="19"/>
              </w:rPr>
              <w:t xml:space="preserve">LP Studio</w:t>
            </w:r>
          </w:p>
        </w:tc>
        <w:tc>
          <w:tcPr>
            <w:tcW w:type="dxa" w:w="1160"/>
            <w:tcBorders>
              <w:top w:val="single" w:color="CBD5E1" w:sz="1"/>
              <w:left w:val="single" w:color="CBD5E1" w:sz="1"/>
              <w:bottom w:val="single" w:color="CBD5E1" w:sz="1"/>
              <w:right w:val="single" w:color="CBD5E1" w:sz="1"/>
            </w:tcBorders>
            <w:shd w:fill="1E293B" w:val="clear"/>
            <w:tcMar>
              <w:top w:type="dxa" w:w="60"/>
              <w:left w:type="dxa" w:w="100"/>
              <w:bottom w:type="dxa" w:w="60"/>
              <w:right w:type="dxa" w:w="100"/>
            </w:tcMar>
          </w:tcPr>
          <w:p>
            <w:r>
              <w:rPr>
                <w:rFonts w:ascii="Arial" w:cs="Arial" w:eastAsia="Arial" w:hAnsi="Arial"/>
                <w:b/>
                <w:bCs/>
                <w:color w:val="FFFFFF"/>
                <w:sz w:val="19"/>
                <w:szCs w:val="19"/>
              </w:rPr>
              <w:t xml:space="preserve">Unbounce</w:t>
            </w:r>
          </w:p>
        </w:tc>
        <w:tc>
          <w:tcPr>
            <w:tcW w:type="dxa" w:w="1160"/>
            <w:tcBorders>
              <w:top w:val="single" w:color="CBD5E1" w:sz="1"/>
              <w:left w:val="single" w:color="CBD5E1" w:sz="1"/>
              <w:bottom w:val="single" w:color="CBD5E1" w:sz="1"/>
              <w:right w:val="single" w:color="CBD5E1" w:sz="1"/>
            </w:tcBorders>
            <w:shd w:fill="1E293B" w:val="clear"/>
            <w:tcMar>
              <w:top w:type="dxa" w:w="60"/>
              <w:left w:type="dxa" w:w="100"/>
              <w:bottom w:type="dxa" w:w="60"/>
              <w:right w:type="dxa" w:w="100"/>
            </w:tcMar>
          </w:tcPr>
          <w:p>
            <w:r>
              <w:rPr>
                <w:rFonts w:ascii="Arial" w:cs="Arial" w:eastAsia="Arial" w:hAnsi="Arial"/>
                <w:b/>
                <w:bCs/>
                <w:color w:val="FFFFFF"/>
                <w:sz w:val="19"/>
                <w:szCs w:val="19"/>
              </w:rPr>
              <w:t xml:space="preserve">Instapage</w:t>
            </w:r>
          </w:p>
        </w:tc>
        <w:tc>
          <w:tcPr>
            <w:tcW w:type="dxa" w:w="1160"/>
            <w:tcBorders>
              <w:top w:val="single" w:color="CBD5E1" w:sz="1"/>
              <w:left w:val="single" w:color="CBD5E1" w:sz="1"/>
              <w:bottom w:val="single" w:color="CBD5E1" w:sz="1"/>
              <w:right w:val="single" w:color="CBD5E1" w:sz="1"/>
            </w:tcBorders>
            <w:shd w:fill="1E293B" w:val="clear"/>
            <w:tcMar>
              <w:top w:type="dxa" w:w="60"/>
              <w:left w:type="dxa" w:w="100"/>
              <w:bottom w:type="dxa" w:w="60"/>
              <w:right w:type="dxa" w:w="100"/>
            </w:tcMar>
          </w:tcPr>
          <w:p>
            <w:r>
              <w:rPr>
                <w:rFonts w:ascii="Arial" w:cs="Arial" w:eastAsia="Arial" w:hAnsi="Arial"/>
                <w:b/>
                <w:bCs/>
                <w:color w:val="FFFFFF"/>
                <w:sz w:val="19"/>
                <w:szCs w:val="19"/>
              </w:rPr>
              <w:t xml:space="preserve">Jasper</w:t>
            </w:r>
          </w:p>
        </w:tc>
        <w:tc>
          <w:tcPr>
            <w:tcW w:type="dxa" w:w="1160"/>
            <w:tcBorders>
              <w:top w:val="single" w:color="CBD5E1" w:sz="1"/>
              <w:left w:val="single" w:color="CBD5E1" w:sz="1"/>
              <w:bottom w:val="single" w:color="CBD5E1" w:sz="1"/>
              <w:right w:val="single" w:color="CBD5E1" w:sz="1"/>
            </w:tcBorders>
            <w:shd w:fill="1E293B" w:val="clear"/>
            <w:tcMar>
              <w:top w:type="dxa" w:w="60"/>
              <w:left w:type="dxa" w:w="100"/>
              <w:bottom w:type="dxa" w:w="60"/>
              <w:right w:type="dxa" w:w="100"/>
            </w:tcMar>
          </w:tcPr>
          <w:p>
            <w:r>
              <w:rPr>
                <w:rFonts w:ascii="Arial" w:cs="Arial" w:eastAsia="Arial" w:hAnsi="Arial"/>
                <w:b/>
                <w:bCs/>
                <w:color w:val="FFFFFF"/>
                <w:sz w:val="19"/>
                <w:szCs w:val="19"/>
              </w:rPr>
              <w:t xml:space="preserve">Copy.ai</w:t>
            </w:r>
          </w:p>
        </w:tc>
        <w:tc>
          <w:tcPr>
            <w:tcW w:type="dxa" w:w="1160"/>
            <w:tcBorders>
              <w:top w:val="single" w:color="CBD5E1" w:sz="1"/>
              <w:left w:val="single" w:color="CBD5E1" w:sz="1"/>
              <w:bottom w:val="single" w:color="CBD5E1" w:sz="1"/>
              <w:right w:val="single" w:color="CBD5E1" w:sz="1"/>
            </w:tcBorders>
            <w:shd w:fill="1E293B" w:val="clear"/>
            <w:tcMar>
              <w:top w:type="dxa" w:w="60"/>
              <w:left w:type="dxa" w:w="100"/>
              <w:bottom w:type="dxa" w:w="60"/>
              <w:right w:type="dxa" w:w="100"/>
            </w:tcMar>
          </w:tcPr>
          <w:p>
            <w:r>
              <w:rPr>
                <w:rFonts w:ascii="Arial" w:cs="Arial" w:eastAsia="Arial" w:hAnsi="Arial"/>
                <w:b/>
                <w:bCs/>
                <w:color w:val="FFFFFF"/>
                <w:sz w:val="19"/>
                <w:szCs w:val="19"/>
              </w:rPr>
              <w:t xml:space="preserve">Mutiny</w:t>
            </w:r>
          </w:p>
        </w:tc>
      </w:tr>
      <w:tr>
        <w:tc>
          <w:tcPr>
            <w:tcW w:type="dxa" w:w="240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sz w:val="18"/>
                <w:szCs w:val="18"/>
              </w:rPr>
              <w:t xml:space="preserve">AI Page Generation</w:t>
            </w:r>
          </w:p>
        </w:tc>
        <w:tc>
          <w:tcPr>
            <w:tcW w:type="dxa" w:w="116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sz w:val="18"/>
                <w:szCs w:val="18"/>
              </w:rPr>
              <w:t xml:space="preserve">✅ GPT-4o</w:t>
            </w:r>
          </w:p>
        </w:tc>
        <w:tc>
          <w:tcPr>
            <w:tcW w:type="dxa" w:w="1160"/>
            <w:tcBorders>
              <w:top w:val="single" w:color="CBD5E1" w:sz="1"/>
              <w:left w:val="single" w:color="CBD5E1" w:sz="1"/>
              <w:bottom w:val="single" w:color="CBD5E1" w:sz="1"/>
              <w:right w:val="single" w:color="CBD5E1" w:sz="1"/>
            </w:tcBorders>
            <w:shd w:fill="F1F5F9" w:val="clear"/>
            <w:tcMar>
              <w:top w:type="dxa" w:w="50"/>
              <w:left w:type="dxa" w:w="100"/>
              <w:bottom w:type="dxa" w:w="50"/>
              <w:right w:type="dxa" w:w="100"/>
            </w:tcMar>
          </w:tcPr>
          <w:p>
            <w:r>
              <w:rPr>
                <w:rFonts w:ascii="Arial" w:cs="Arial" w:eastAsia="Arial" w:hAnsi="Arial"/>
                <w:sz w:val="18"/>
                <w:szCs w:val="18"/>
              </w:rPr>
              <w:t xml:space="preserve">⚠ Generic</w:t>
            </w:r>
          </w:p>
        </w:tc>
        <w:tc>
          <w:tcPr>
            <w:tcW w:type="dxa" w:w="116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sz w:val="18"/>
                <w:szCs w:val="18"/>
              </w:rPr>
              <w:t xml:space="preserve">⚠ Basic</w:t>
            </w:r>
          </w:p>
        </w:tc>
        <w:tc>
          <w:tcPr>
            <w:tcW w:type="dxa" w:w="1160"/>
            <w:tcBorders>
              <w:top w:val="single" w:color="CBD5E1" w:sz="1"/>
              <w:left w:val="single" w:color="CBD5E1" w:sz="1"/>
              <w:bottom w:val="single" w:color="CBD5E1" w:sz="1"/>
              <w:right w:val="single" w:color="CBD5E1" w:sz="1"/>
            </w:tcBorders>
            <w:shd w:fill="F1F5F9" w:val="clear"/>
            <w:tcMar>
              <w:top w:type="dxa" w:w="50"/>
              <w:left w:type="dxa" w:w="100"/>
              <w:bottom w:type="dxa" w:w="50"/>
              <w:right w:type="dxa" w:w="100"/>
            </w:tcMar>
          </w:tcPr>
          <w:p>
            <w:r>
              <w:rPr>
                <w:rFonts w:ascii="Arial" w:cs="Arial" w:eastAsia="Arial" w:hAnsi="Arial"/>
                <w:sz w:val="18"/>
                <w:szCs w:val="18"/>
              </w:rPr>
              <w:t xml:space="preserve">✅</w:t>
            </w:r>
          </w:p>
        </w:tc>
        <w:tc>
          <w:tcPr>
            <w:tcW w:type="dxa" w:w="116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sz w:val="18"/>
                <w:szCs w:val="18"/>
              </w:rPr>
              <w:t xml:space="preserve">✅</w:t>
            </w:r>
          </w:p>
        </w:tc>
        <w:tc>
          <w:tcPr>
            <w:tcW w:type="dxa" w:w="1160"/>
            <w:tcBorders>
              <w:top w:val="single" w:color="CBD5E1" w:sz="1"/>
              <w:left w:val="single" w:color="CBD5E1" w:sz="1"/>
              <w:bottom w:val="single" w:color="CBD5E1" w:sz="1"/>
              <w:right w:val="single" w:color="CBD5E1" w:sz="1"/>
            </w:tcBorders>
            <w:shd w:fill="F1F5F9" w:val="clear"/>
            <w:tcMar>
              <w:top w:type="dxa" w:w="50"/>
              <w:left w:type="dxa" w:w="100"/>
              <w:bottom w:type="dxa" w:w="50"/>
              <w:right w:type="dxa" w:w="100"/>
            </w:tcMar>
          </w:tcPr>
          <w:p>
            <w:r>
              <w:rPr>
                <w:rFonts w:ascii="Arial" w:cs="Arial" w:eastAsia="Arial" w:hAnsi="Arial"/>
                <w:sz w:val="18"/>
                <w:szCs w:val="18"/>
              </w:rPr>
              <w:t xml:space="preserve">—</w:t>
            </w:r>
          </w:p>
        </w:tc>
      </w:tr>
      <w:tr>
        <w:tc>
          <w:tcPr>
            <w:tcW w:type="dxa" w:w="2400"/>
            <w:tcBorders>
              <w:top w:val="single" w:color="CBD5E1" w:sz="1"/>
              <w:left w:val="single" w:color="CBD5E1" w:sz="1"/>
              <w:bottom w:val="single" w:color="CBD5E1" w:sz="1"/>
              <w:right w:val="single" w:color="CBD5E1" w:sz="1"/>
            </w:tcBorders>
            <w:shd w:fill="F1F5F9" w:val="clear"/>
            <w:tcMar>
              <w:top w:type="dxa" w:w="50"/>
              <w:left w:type="dxa" w:w="100"/>
              <w:bottom w:type="dxa" w:w="50"/>
              <w:right w:type="dxa" w:w="100"/>
            </w:tcMar>
          </w:tcPr>
          <w:p>
            <w:r>
              <w:rPr>
                <w:rFonts w:ascii="Arial" w:cs="Arial" w:eastAsia="Arial" w:hAnsi="Arial"/>
                <w:sz w:val="18"/>
                <w:szCs w:val="18"/>
              </w:rPr>
              <w:t xml:space="preserve">Smart Traffic / Bandits</w:t>
            </w:r>
          </w:p>
        </w:tc>
        <w:tc>
          <w:tcPr>
            <w:tcW w:type="dxa" w:w="1160"/>
            <w:tcBorders>
              <w:top w:val="single" w:color="CBD5E1" w:sz="1"/>
              <w:left w:val="single" w:color="CBD5E1" w:sz="1"/>
              <w:bottom w:val="single" w:color="CBD5E1" w:sz="1"/>
              <w:right w:val="single" w:color="CBD5E1" w:sz="1"/>
            </w:tcBorders>
            <w:shd w:fill="F1F5F9" w:val="clear"/>
            <w:tcMar>
              <w:top w:type="dxa" w:w="50"/>
              <w:left w:type="dxa" w:w="100"/>
              <w:bottom w:type="dxa" w:w="50"/>
              <w:right w:type="dxa" w:w="100"/>
            </w:tcMar>
          </w:tcPr>
          <w:p>
            <w:r>
              <w:rPr>
                <w:rFonts w:ascii="Arial" w:cs="Arial" w:eastAsia="Arial" w:hAnsi="Arial"/>
                <w:sz w:val="18"/>
                <w:szCs w:val="18"/>
              </w:rPr>
              <w:t xml:space="preserve">✅ Thompson</w:t>
            </w:r>
          </w:p>
        </w:tc>
        <w:tc>
          <w:tcPr>
            <w:tcW w:type="dxa" w:w="116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sz w:val="18"/>
                <w:szCs w:val="18"/>
              </w:rPr>
              <w:t xml:space="preserve">✅ ML</w:t>
            </w:r>
          </w:p>
        </w:tc>
        <w:tc>
          <w:tcPr>
            <w:tcW w:type="dxa" w:w="1160"/>
            <w:tcBorders>
              <w:top w:val="single" w:color="CBD5E1" w:sz="1"/>
              <w:left w:val="single" w:color="CBD5E1" w:sz="1"/>
              <w:bottom w:val="single" w:color="CBD5E1" w:sz="1"/>
              <w:right w:val="single" w:color="CBD5E1" w:sz="1"/>
            </w:tcBorders>
            <w:shd w:fill="F1F5F9" w:val="clear"/>
            <w:tcMar>
              <w:top w:type="dxa" w:w="50"/>
              <w:left w:type="dxa" w:w="100"/>
              <w:bottom w:type="dxa" w:w="50"/>
              <w:right w:type="dxa" w:w="100"/>
            </w:tcMar>
          </w:tcPr>
          <w:p>
            <w:r>
              <w:rPr>
                <w:rFonts w:ascii="Arial" w:cs="Arial" w:eastAsia="Arial" w:hAnsi="Arial"/>
                <w:sz w:val="18"/>
                <w:szCs w:val="18"/>
              </w:rPr>
              <w:t xml:space="preserve">—</w:t>
            </w:r>
          </w:p>
        </w:tc>
        <w:tc>
          <w:tcPr>
            <w:tcW w:type="dxa" w:w="116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sz w:val="18"/>
                <w:szCs w:val="18"/>
              </w:rPr>
              <w:t xml:space="preserve">—</w:t>
            </w:r>
          </w:p>
        </w:tc>
        <w:tc>
          <w:tcPr>
            <w:tcW w:type="dxa" w:w="1160"/>
            <w:tcBorders>
              <w:top w:val="single" w:color="CBD5E1" w:sz="1"/>
              <w:left w:val="single" w:color="CBD5E1" w:sz="1"/>
              <w:bottom w:val="single" w:color="CBD5E1" w:sz="1"/>
              <w:right w:val="single" w:color="CBD5E1" w:sz="1"/>
            </w:tcBorders>
            <w:shd w:fill="F1F5F9" w:val="clear"/>
            <w:tcMar>
              <w:top w:type="dxa" w:w="50"/>
              <w:left w:type="dxa" w:w="100"/>
              <w:bottom w:type="dxa" w:w="50"/>
              <w:right w:type="dxa" w:w="100"/>
            </w:tcMar>
          </w:tcPr>
          <w:p>
            <w:r>
              <w:rPr>
                <w:rFonts w:ascii="Arial" w:cs="Arial" w:eastAsia="Arial" w:hAnsi="Arial"/>
                <w:sz w:val="18"/>
                <w:szCs w:val="18"/>
              </w:rPr>
              <w:t xml:space="preserve">—</w:t>
            </w:r>
          </w:p>
        </w:tc>
        <w:tc>
          <w:tcPr>
            <w:tcW w:type="dxa" w:w="116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sz w:val="18"/>
                <w:szCs w:val="18"/>
              </w:rPr>
              <w:t xml:space="preserve">✅ ABM</w:t>
            </w:r>
          </w:p>
        </w:tc>
      </w:tr>
      <w:tr>
        <w:tc>
          <w:tcPr>
            <w:tcW w:type="dxa" w:w="240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sz w:val="18"/>
                <w:szCs w:val="18"/>
              </w:rPr>
              <w:t xml:space="preserve">Built-in Heatmaps</w:t>
            </w:r>
          </w:p>
        </w:tc>
        <w:tc>
          <w:tcPr>
            <w:tcW w:type="dxa" w:w="116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sz w:val="18"/>
                <w:szCs w:val="18"/>
              </w:rPr>
              <w:t xml:space="preserve">✅</w:t>
            </w:r>
          </w:p>
        </w:tc>
        <w:tc>
          <w:tcPr>
            <w:tcW w:type="dxa" w:w="1160"/>
            <w:tcBorders>
              <w:top w:val="single" w:color="CBD5E1" w:sz="1"/>
              <w:left w:val="single" w:color="CBD5E1" w:sz="1"/>
              <w:bottom w:val="single" w:color="CBD5E1" w:sz="1"/>
              <w:right w:val="single" w:color="CBD5E1" w:sz="1"/>
            </w:tcBorders>
            <w:shd w:fill="F1F5F9" w:val="clear"/>
            <w:tcMar>
              <w:top w:type="dxa" w:w="50"/>
              <w:left w:type="dxa" w:w="100"/>
              <w:bottom w:type="dxa" w:w="50"/>
              <w:right w:type="dxa" w:w="100"/>
            </w:tcMar>
          </w:tcPr>
          <w:p>
            <w:r>
              <w:rPr>
                <w:rFonts w:ascii="Arial" w:cs="Arial" w:eastAsia="Arial" w:hAnsi="Arial"/>
                <w:sz w:val="18"/>
                <w:szCs w:val="18"/>
              </w:rPr>
              <w:t xml:space="preserve">—</w:t>
            </w:r>
          </w:p>
        </w:tc>
        <w:tc>
          <w:tcPr>
            <w:tcW w:type="dxa" w:w="116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sz w:val="18"/>
                <w:szCs w:val="18"/>
              </w:rPr>
              <w:t xml:space="preserve">✅</w:t>
            </w:r>
          </w:p>
        </w:tc>
        <w:tc>
          <w:tcPr>
            <w:tcW w:type="dxa" w:w="1160"/>
            <w:tcBorders>
              <w:top w:val="single" w:color="CBD5E1" w:sz="1"/>
              <w:left w:val="single" w:color="CBD5E1" w:sz="1"/>
              <w:bottom w:val="single" w:color="CBD5E1" w:sz="1"/>
              <w:right w:val="single" w:color="CBD5E1" w:sz="1"/>
            </w:tcBorders>
            <w:shd w:fill="F1F5F9" w:val="clear"/>
            <w:tcMar>
              <w:top w:type="dxa" w:w="50"/>
              <w:left w:type="dxa" w:w="100"/>
              <w:bottom w:type="dxa" w:w="50"/>
              <w:right w:type="dxa" w:w="100"/>
            </w:tcMar>
          </w:tcPr>
          <w:p>
            <w:r>
              <w:rPr>
                <w:rFonts w:ascii="Arial" w:cs="Arial" w:eastAsia="Arial" w:hAnsi="Arial"/>
                <w:sz w:val="18"/>
                <w:szCs w:val="18"/>
              </w:rPr>
              <w:t xml:space="preserve">—</w:t>
            </w:r>
          </w:p>
        </w:tc>
        <w:tc>
          <w:tcPr>
            <w:tcW w:type="dxa" w:w="116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sz w:val="18"/>
                <w:szCs w:val="18"/>
              </w:rPr>
              <w:t xml:space="preserve">—</w:t>
            </w:r>
          </w:p>
        </w:tc>
        <w:tc>
          <w:tcPr>
            <w:tcW w:type="dxa" w:w="1160"/>
            <w:tcBorders>
              <w:top w:val="single" w:color="CBD5E1" w:sz="1"/>
              <w:left w:val="single" w:color="CBD5E1" w:sz="1"/>
              <w:bottom w:val="single" w:color="CBD5E1" w:sz="1"/>
              <w:right w:val="single" w:color="CBD5E1" w:sz="1"/>
            </w:tcBorders>
            <w:shd w:fill="F1F5F9" w:val="clear"/>
            <w:tcMar>
              <w:top w:type="dxa" w:w="50"/>
              <w:left w:type="dxa" w:w="100"/>
              <w:bottom w:type="dxa" w:w="50"/>
              <w:right w:type="dxa" w:w="100"/>
            </w:tcMar>
          </w:tcPr>
          <w:p>
            <w:r>
              <w:rPr>
                <w:rFonts w:ascii="Arial" w:cs="Arial" w:eastAsia="Arial" w:hAnsi="Arial"/>
                <w:sz w:val="18"/>
                <w:szCs w:val="18"/>
              </w:rPr>
              <w:t xml:space="preserve">—</w:t>
            </w:r>
          </w:p>
        </w:tc>
      </w:tr>
      <w:tr>
        <w:tc>
          <w:tcPr>
            <w:tcW w:type="dxa" w:w="2400"/>
            <w:tcBorders>
              <w:top w:val="single" w:color="CBD5E1" w:sz="1"/>
              <w:left w:val="single" w:color="CBD5E1" w:sz="1"/>
              <w:bottom w:val="single" w:color="CBD5E1" w:sz="1"/>
              <w:right w:val="single" w:color="CBD5E1" w:sz="1"/>
            </w:tcBorders>
            <w:shd w:fill="F1F5F9" w:val="clear"/>
            <w:tcMar>
              <w:top w:type="dxa" w:w="50"/>
              <w:left w:type="dxa" w:w="100"/>
              <w:bottom w:type="dxa" w:w="50"/>
              <w:right w:type="dxa" w:w="100"/>
            </w:tcMar>
          </w:tcPr>
          <w:p>
            <w:r>
              <w:rPr>
                <w:rFonts w:ascii="Arial" w:cs="Arial" w:eastAsia="Arial" w:hAnsi="Arial"/>
                <w:sz w:val="18"/>
                <w:szCs w:val="18"/>
              </w:rPr>
              <w:t xml:space="preserve">Multivariate Testing</w:t>
            </w:r>
          </w:p>
        </w:tc>
        <w:tc>
          <w:tcPr>
            <w:tcW w:type="dxa" w:w="1160"/>
            <w:tcBorders>
              <w:top w:val="single" w:color="CBD5E1" w:sz="1"/>
              <w:left w:val="single" w:color="CBD5E1" w:sz="1"/>
              <w:bottom w:val="single" w:color="CBD5E1" w:sz="1"/>
              <w:right w:val="single" w:color="CBD5E1" w:sz="1"/>
            </w:tcBorders>
            <w:shd w:fill="F1F5F9" w:val="clear"/>
            <w:tcMar>
              <w:top w:type="dxa" w:w="50"/>
              <w:left w:type="dxa" w:w="100"/>
              <w:bottom w:type="dxa" w:w="50"/>
              <w:right w:type="dxa" w:w="100"/>
            </w:tcMar>
          </w:tcPr>
          <w:p>
            <w:r>
              <w:rPr>
                <w:rFonts w:ascii="Arial" w:cs="Arial" w:eastAsia="Arial" w:hAnsi="Arial"/>
                <w:sz w:val="18"/>
                <w:szCs w:val="18"/>
              </w:rPr>
              <w:t xml:space="preserve">✅</w:t>
            </w:r>
          </w:p>
        </w:tc>
        <w:tc>
          <w:tcPr>
            <w:tcW w:type="dxa" w:w="116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sz w:val="18"/>
                <w:szCs w:val="18"/>
              </w:rPr>
              <w:t xml:space="preserve">✅</w:t>
            </w:r>
          </w:p>
        </w:tc>
        <w:tc>
          <w:tcPr>
            <w:tcW w:type="dxa" w:w="1160"/>
            <w:tcBorders>
              <w:top w:val="single" w:color="CBD5E1" w:sz="1"/>
              <w:left w:val="single" w:color="CBD5E1" w:sz="1"/>
              <w:bottom w:val="single" w:color="CBD5E1" w:sz="1"/>
              <w:right w:val="single" w:color="CBD5E1" w:sz="1"/>
            </w:tcBorders>
            <w:shd w:fill="F1F5F9" w:val="clear"/>
            <w:tcMar>
              <w:top w:type="dxa" w:w="50"/>
              <w:left w:type="dxa" w:w="100"/>
              <w:bottom w:type="dxa" w:w="50"/>
              <w:right w:type="dxa" w:w="100"/>
            </w:tcMar>
          </w:tcPr>
          <w:p>
            <w:r>
              <w:rPr>
                <w:rFonts w:ascii="Arial" w:cs="Arial" w:eastAsia="Arial" w:hAnsi="Arial"/>
                <w:sz w:val="18"/>
                <w:szCs w:val="18"/>
              </w:rPr>
              <w:t xml:space="preserve">✅</w:t>
            </w:r>
          </w:p>
        </w:tc>
        <w:tc>
          <w:tcPr>
            <w:tcW w:type="dxa" w:w="116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sz w:val="18"/>
                <w:szCs w:val="18"/>
              </w:rPr>
              <w:t xml:space="preserve">—</w:t>
            </w:r>
          </w:p>
        </w:tc>
        <w:tc>
          <w:tcPr>
            <w:tcW w:type="dxa" w:w="1160"/>
            <w:tcBorders>
              <w:top w:val="single" w:color="CBD5E1" w:sz="1"/>
              <w:left w:val="single" w:color="CBD5E1" w:sz="1"/>
              <w:bottom w:val="single" w:color="CBD5E1" w:sz="1"/>
              <w:right w:val="single" w:color="CBD5E1" w:sz="1"/>
            </w:tcBorders>
            <w:shd w:fill="F1F5F9" w:val="clear"/>
            <w:tcMar>
              <w:top w:type="dxa" w:w="50"/>
              <w:left w:type="dxa" w:w="100"/>
              <w:bottom w:type="dxa" w:w="50"/>
              <w:right w:type="dxa" w:w="100"/>
            </w:tcMar>
          </w:tcPr>
          <w:p>
            <w:r>
              <w:rPr>
                <w:rFonts w:ascii="Arial" w:cs="Arial" w:eastAsia="Arial" w:hAnsi="Arial"/>
                <w:sz w:val="18"/>
                <w:szCs w:val="18"/>
              </w:rPr>
              <w:t xml:space="preserve">—</w:t>
            </w:r>
          </w:p>
        </w:tc>
        <w:tc>
          <w:tcPr>
            <w:tcW w:type="dxa" w:w="116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sz w:val="18"/>
                <w:szCs w:val="18"/>
              </w:rPr>
              <w:t xml:space="preserve">—</w:t>
            </w:r>
          </w:p>
        </w:tc>
      </w:tr>
      <w:tr>
        <w:tc>
          <w:tcPr>
            <w:tcW w:type="dxa" w:w="240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sz w:val="18"/>
                <w:szCs w:val="18"/>
              </w:rPr>
              <w:t xml:space="preserve">Brand-Aware AI Copy</w:t>
            </w:r>
          </w:p>
        </w:tc>
        <w:tc>
          <w:tcPr>
            <w:tcW w:type="dxa" w:w="116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sz w:val="18"/>
                <w:szCs w:val="18"/>
              </w:rPr>
              <w:t xml:space="preserve">✅</w:t>
            </w:r>
          </w:p>
        </w:tc>
        <w:tc>
          <w:tcPr>
            <w:tcW w:type="dxa" w:w="1160"/>
            <w:tcBorders>
              <w:top w:val="single" w:color="CBD5E1" w:sz="1"/>
              <w:left w:val="single" w:color="CBD5E1" w:sz="1"/>
              <w:bottom w:val="single" w:color="CBD5E1" w:sz="1"/>
              <w:right w:val="single" w:color="CBD5E1" w:sz="1"/>
            </w:tcBorders>
            <w:shd w:fill="F1F5F9" w:val="clear"/>
            <w:tcMar>
              <w:top w:type="dxa" w:w="50"/>
              <w:left w:type="dxa" w:w="100"/>
              <w:bottom w:type="dxa" w:w="50"/>
              <w:right w:type="dxa" w:w="100"/>
            </w:tcMar>
          </w:tcPr>
          <w:p>
            <w:r>
              <w:rPr>
                <w:rFonts w:ascii="Arial" w:cs="Arial" w:eastAsia="Arial" w:hAnsi="Arial"/>
                <w:sz w:val="18"/>
                <w:szCs w:val="18"/>
              </w:rPr>
              <w:t xml:space="preserve">—</w:t>
            </w:r>
          </w:p>
        </w:tc>
        <w:tc>
          <w:tcPr>
            <w:tcW w:type="dxa" w:w="116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sz w:val="18"/>
                <w:szCs w:val="18"/>
              </w:rPr>
              <w:t xml:space="preserve">—</w:t>
            </w:r>
          </w:p>
        </w:tc>
        <w:tc>
          <w:tcPr>
            <w:tcW w:type="dxa" w:w="1160"/>
            <w:tcBorders>
              <w:top w:val="single" w:color="CBD5E1" w:sz="1"/>
              <w:left w:val="single" w:color="CBD5E1" w:sz="1"/>
              <w:bottom w:val="single" w:color="CBD5E1" w:sz="1"/>
              <w:right w:val="single" w:color="CBD5E1" w:sz="1"/>
            </w:tcBorders>
            <w:shd w:fill="F1F5F9" w:val="clear"/>
            <w:tcMar>
              <w:top w:type="dxa" w:w="50"/>
              <w:left w:type="dxa" w:w="100"/>
              <w:bottom w:type="dxa" w:w="50"/>
              <w:right w:type="dxa" w:w="100"/>
            </w:tcMar>
          </w:tcPr>
          <w:p>
            <w:r>
              <w:rPr>
                <w:rFonts w:ascii="Arial" w:cs="Arial" w:eastAsia="Arial" w:hAnsi="Arial"/>
                <w:sz w:val="18"/>
                <w:szCs w:val="18"/>
              </w:rPr>
              <w:t xml:space="preserve">✅</w:t>
            </w:r>
          </w:p>
        </w:tc>
        <w:tc>
          <w:tcPr>
            <w:tcW w:type="dxa" w:w="116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sz w:val="18"/>
                <w:szCs w:val="18"/>
              </w:rPr>
              <w:t xml:space="preserve">✅</w:t>
            </w:r>
          </w:p>
        </w:tc>
        <w:tc>
          <w:tcPr>
            <w:tcW w:type="dxa" w:w="1160"/>
            <w:tcBorders>
              <w:top w:val="single" w:color="CBD5E1" w:sz="1"/>
              <w:left w:val="single" w:color="CBD5E1" w:sz="1"/>
              <w:bottom w:val="single" w:color="CBD5E1" w:sz="1"/>
              <w:right w:val="single" w:color="CBD5E1" w:sz="1"/>
            </w:tcBorders>
            <w:shd w:fill="F1F5F9" w:val="clear"/>
            <w:tcMar>
              <w:top w:type="dxa" w:w="50"/>
              <w:left w:type="dxa" w:w="100"/>
              <w:bottom w:type="dxa" w:w="50"/>
              <w:right w:type="dxa" w:w="100"/>
            </w:tcMar>
          </w:tcPr>
          <w:p>
            <w:r>
              <w:rPr>
                <w:rFonts w:ascii="Arial" w:cs="Arial" w:eastAsia="Arial" w:hAnsi="Arial"/>
                <w:sz w:val="18"/>
                <w:szCs w:val="18"/>
              </w:rPr>
              <w:t xml:space="preserve">—</w:t>
            </w:r>
          </w:p>
        </w:tc>
      </w:tr>
      <w:tr>
        <w:tc>
          <w:tcPr>
            <w:tcW w:type="dxa" w:w="2400"/>
            <w:tcBorders>
              <w:top w:val="single" w:color="CBD5E1" w:sz="1"/>
              <w:left w:val="single" w:color="CBD5E1" w:sz="1"/>
              <w:bottom w:val="single" w:color="CBD5E1" w:sz="1"/>
              <w:right w:val="single" w:color="CBD5E1" w:sz="1"/>
            </w:tcBorders>
            <w:shd w:fill="F1F5F9" w:val="clear"/>
            <w:tcMar>
              <w:top w:type="dxa" w:w="50"/>
              <w:left w:type="dxa" w:w="100"/>
              <w:bottom w:type="dxa" w:w="50"/>
              <w:right w:type="dxa" w:w="100"/>
            </w:tcMar>
          </w:tcPr>
          <w:p>
            <w:r>
              <w:rPr>
                <w:rFonts w:ascii="Arial" w:cs="Arial" w:eastAsia="Arial" w:hAnsi="Arial"/>
                <w:sz w:val="18"/>
                <w:szCs w:val="18"/>
              </w:rPr>
              <w:t xml:space="preserve">Lead Forms + CRM Push</w:t>
            </w:r>
          </w:p>
        </w:tc>
        <w:tc>
          <w:tcPr>
            <w:tcW w:type="dxa" w:w="1160"/>
            <w:tcBorders>
              <w:top w:val="single" w:color="CBD5E1" w:sz="1"/>
              <w:left w:val="single" w:color="CBD5E1" w:sz="1"/>
              <w:bottom w:val="single" w:color="CBD5E1" w:sz="1"/>
              <w:right w:val="single" w:color="CBD5E1" w:sz="1"/>
            </w:tcBorders>
            <w:shd w:fill="F1F5F9" w:val="clear"/>
            <w:tcMar>
              <w:top w:type="dxa" w:w="50"/>
              <w:left w:type="dxa" w:w="100"/>
              <w:bottom w:type="dxa" w:w="50"/>
              <w:right w:type="dxa" w:w="100"/>
            </w:tcMar>
          </w:tcPr>
          <w:p>
            <w:r>
              <w:rPr>
                <w:rFonts w:ascii="Arial" w:cs="Arial" w:eastAsia="Arial" w:hAnsi="Arial"/>
                <w:sz w:val="18"/>
                <w:szCs w:val="18"/>
              </w:rPr>
              <w:t xml:space="preserve">✅</w:t>
            </w:r>
          </w:p>
        </w:tc>
        <w:tc>
          <w:tcPr>
            <w:tcW w:type="dxa" w:w="116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sz w:val="18"/>
                <w:szCs w:val="18"/>
              </w:rPr>
              <w:t xml:space="preserve">✅</w:t>
            </w:r>
          </w:p>
        </w:tc>
        <w:tc>
          <w:tcPr>
            <w:tcW w:type="dxa" w:w="1160"/>
            <w:tcBorders>
              <w:top w:val="single" w:color="CBD5E1" w:sz="1"/>
              <w:left w:val="single" w:color="CBD5E1" w:sz="1"/>
              <w:bottom w:val="single" w:color="CBD5E1" w:sz="1"/>
              <w:right w:val="single" w:color="CBD5E1" w:sz="1"/>
            </w:tcBorders>
            <w:shd w:fill="F1F5F9" w:val="clear"/>
            <w:tcMar>
              <w:top w:type="dxa" w:w="50"/>
              <w:left w:type="dxa" w:w="100"/>
              <w:bottom w:type="dxa" w:w="50"/>
              <w:right w:type="dxa" w:w="100"/>
            </w:tcMar>
          </w:tcPr>
          <w:p>
            <w:r>
              <w:rPr>
                <w:rFonts w:ascii="Arial" w:cs="Arial" w:eastAsia="Arial" w:hAnsi="Arial"/>
                <w:sz w:val="18"/>
                <w:szCs w:val="18"/>
              </w:rPr>
              <w:t xml:space="preserve">✅</w:t>
            </w:r>
          </w:p>
        </w:tc>
        <w:tc>
          <w:tcPr>
            <w:tcW w:type="dxa" w:w="116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sz w:val="18"/>
                <w:szCs w:val="18"/>
              </w:rPr>
              <w:t xml:space="preserve">—</w:t>
            </w:r>
          </w:p>
        </w:tc>
        <w:tc>
          <w:tcPr>
            <w:tcW w:type="dxa" w:w="1160"/>
            <w:tcBorders>
              <w:top w:val="single" w:color="CBD5E1" w:sz="1"/>
              <w:left w:val="single" w:color="CBD5E1" w:sz="1"/>
              <w:bottom w:val="single" w:color="CBD5E1" w:sz="1"/>
              <w:right w:val="single" w:color="CBD5E1" w:sz="1"/>
            </w:tcBorders>
            <w:shd w:fill="F1F5F9" w:val="clear"/>
            <w:tcMar>
              <w:top w:type="dxa" w:w="50"/>
              <w:left w:type="dxa" w:w="100"/>
              <w:bottom w:type="dxa" w:w="50"/>
              <w:right w:type="dxa" w:w="100"/>
            </w:tcMar>
          </w:tcPr>
          <w:p>
            <w:r>
              <w:rPr>
                <w:rFonts w:ascii="Arial" w:cs="Arial" w:eastAsia="Arial" w:hAnsi="Arial"/>
                <w:sz w:val="18"/>
                <w:szCs w:val="18"/>
              </w:rPr>
              <w:t xml:space="preserve">✅</w:t>
            </w:r>
          </w:p>
        </w:tc>
        <w:tc>
          <w:tcPr>
            <w:tcW w:type="dxa" w:w="116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sz w:val="18"/>
                <w:szCs w:val="18"/>
              </w:rPr>
              <w:t xml:space="preserve">✅</w:t>
            </w:r>
          </w:p>
        </w:tc>
      </w:tr>
      <w:tr>
        <w:tc>
          <w:tcPr>
            <w:tcW w:type="dxa" w:w="240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sz w:val="18"/>
                <w:szCs w:val="18"/>
              </w:rPr>
              <w:t xml:space="preserve">Custom Block Builder</w:t>
            </w:r>
          </w:p>
        </w:tc>
        <w:tc>
          <w:tcPr>
            <w:tcW w:type="dxa" w:w="116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sz w:val="18"/>
                <w:szCs w:val="18"/>
              </w:rPr>
              <w:t xml:space="preserve">✅</w:t>
            </w:r>
          </w:p>
        </w:tc>
        <w:tc>
          <w:tcPr>
            <w:tcW w:type="dxa" w:w="1160"/>
            <w:tcBorders>
              <w:top w:val="single" w:color="CBD5E1" w:sz="1"/>
              <w:left w:val="single" w:color="CBD5E1" w:sz="1"/>
              <w:bottom w:val="single" w:color="CBD5E1" w:sz="1"/>
              <w:right w:val="single" w:color="CBD5E1" w:sz="1"/>
            </w:tcBorders>
            <w:shd w:fill="F1F5F9" w:val="clear"/>
            <w:tcMar>
              <w:top w:type="dxa" w:w="50"/>
              <w:left w:type="dxa" w:w="100"/>
              <w:bottom w:type="dxa" w:w="50"/>
              <w:right w:type="dxa" w:w="100"/>
            </w:tcMar>
          </w:tcPr>
          <w:p>
            <w:r>
              <w:rPr>
                <w:rFonts w:ascii="Arial" w:cs="Arial" w:eastAsia="Arial" w:hAnsi="Arial"/>
                <w:sz w:val="18"/>
                <w:szCs w:val="18"/>
              </w:rPr>
              <w:t xml:space="preserve">—</w:t>
            </w:r>
          </w:p>
        </w:tc>
        <w:tc>
          <w:tcPr>
            <w:tcW w:type="dxa" w:w="116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sz w:val="18"/>
                <w:szCs w:val="18"/>
              </w:rPr>
              <w:t xml:space="preserve">—</w:t>
            </w:r>
          </w:p>
        </w:tc>
        <w:tc>
          <w:tcPr>
            <w:tcW w:type="dxa" w:w="1160"/>
            <w:tcBorders>
              <w:top w:val="single" w:color="CBD5E1" w:sz="1"/>
              <w:left w:val="single" w:color="CBD5E1" w:sz="1"/>
              <w:bottom w:val="single" w:color="CBD5E1" w:sz="1"/>
              <w:right w:val="single" w:color="CBD5E1" w:sz="1"/>
            </w:tcBorders>
            <w:shd w:fill="F1F5F9" w:val="clear"/>
            <w:tcMar>
              <w:top w:type="dxa" w:w="50"/>
              <w:left w:type="dxa" w:w="100"/>
              <w:bottom w:type="dxa" w:w="50"/>
              <w:right w:type="dxa" w:w="100"/>
            </w:tcMar>
          </w:tcPr>
          <w:p>
            <w:r>
              <w:rPr>
                <w:rFonts w:ascii="Arial" w:cs="Arial" w:eastAsia="Arial" w:hAnsi="Arial"/>
                <w:sz w:val="18"/>
                <w:szCs w:val="18"/>
              </w:rPr>
              <w:t xml:space="preserve">—</w:t>
            </w:r>
          </w:p>
        </w:tc>
        <w:tc>
          <w:tcPr>
            <w:tcW w:type="dxa" w:w="116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sz w:val="18"/>
                <w:szCs w:val="18"/>
              </w:rPr>
              <w:t xml:space="preserve">—</w:t>
            </w:r>
          </w:p>
        </w:tc>
        <w:tc>
          <w:tcPr>
            <w:tcW w:type="dxa" w:w="1160"/>
            <w:tcBorders>
              <w:top w:val="single" w:color="CBD5E1" w:sz="1"/>
              <w:left w:val="single" w:color="CBD5E1" w:sz="1"/>
              <w:bottom w:val="single" w:color="CBD5E1" w:sz="1"/>
              <w:right w:val="single" w:color="CBD5E1" w:sz="1"/>
            </w:tcBorders>
            <w:shd w:fill="F1F5F9" w:val="clear"/>
            <w:tcMar>
              <w:top w:type="dxa" w:w="50"/>
              <w:left w:type="dxa" w:w="100"/>
              <w:bottom w:type="dxa" w:w="50"/>
              <w:right w:type="dxa" w:w="100"/>
            </w:tcMar>
          </w:tcPr>
          <w:p>
            <w:r>
              <w:rPr>
                <w:rFonts w:ascii="Arial" w:cs="Arial" w:eastAsia="Arial" w:hAnsi="Arial"/>
                <w:sz w:val="18"/>
                <w:szCs w:val="18"/>
              </w:rPr>
              <w:t xml:space="preserve">—</w:t>
            </w:r>
          </w:p>
        </w:tc>
      </w:tr>
      <w:tr>
        <w:tc>
          <w:tcPr>
            <w:tcW w:type="dxa" w:w="2400"/>
            <w:tcBorders>
              <w:top w:val="single" w:color="CBD5E1" w:sz="1"/>
              <w:left w:val="single" w:color="CBD5E1" w:sz="1"/>
              <w:bottom w:val="single" w:color="CBD5E1" w:sz="1"/>
              <w:right w:val="single" w:color="CBD5E1" w:sz="1"/>
            </w:tcBorders>
            <w:shd w:fill="F1F5F9" w:val="clear"/>
            <w:tcMar>
              <w:top w:type="dxa" w:w="50"/>
              <w:left w:type="dxa" w:w="100"/>
              <w:bottom w:type="dxa" w:w="50"/>
              <w:right w:type="dxa" w:w="100"/>
            </w:tcMar>
          </w:tcPr>
          <w:p>
            <w:r>
              <w:rPr>
                <w:rFonts w:ascii="Arial" w:cs="Arial" w:eastAsia="Arial" w:hAnsi="Arial"/>
                <w:sz w:val="18"/>
                <w:szCs w:val="18"/>
              </w:rPr>
              <w:t xml:space="preserve">Sales Enablement Tools</w:t>
            </w:r>
          </w:p>
        </w:tc>
        <w:tc>
          <w:tcPr>
            <w:tcW w:type="dxa" w:w="1160"/>
            <w:tcBorders>
              <w:top w:val="single" w:color="CBD5E1" w:sz="1"/>
              <w:left w:val="single" w:color="CBD5E1" w:sz="1"/>
              <w:bottom w:val="single" w:color="CBD5E1" w:sz="1"/>
              <w:right w:val="single" w:color="CBD5E1" w:sz="1"/>
            </w:tcBorders>
            <w:shd w:fill="F1F5F9" w:val="clear"/>
            <w:tcMar>
              <w:top w:type="dxa" w:w="50"/>
              <w:left w:type="dxa" w:w="100"/>
              <w:bottom w:type="dxa" w:w="50"/>
              <w:right w:type="dxa" w:w="100"/>
            </w:tcMar>
          </w:tcPr>
          <w:p>
            <w:r>
              <w:rPr>
                <w:rFonts w:ascii="Arial" w:cs="Arial" w:eastAsia="Arial" w:hAnsi="Arial"/>
                <w:sz w:val="18"/>
                <w:szCs w:val="18"/>
              </w:rPr>
              <w:t xml:space="preserve">✅*</w:t>
            </w:r>
          </w:p>
        </w:tc>
        <w:tc>
          <w:tcPr>
            <w:tcW w:type="dxa" w:w="116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sz w:val="18"/>
                <w:szCs w:val="18"/>
              </w:rPr>
              <w:t xml:space="preserve">—</w:t>
            </w:r>
          </w:p>
        </w:tc>
        <w:tc>
          <w:tcPr>
            <w:tcW w:type="dxa" w:w="1160"/>
            <w:tcBorders>
              <w:top w:val="single" w:color="CBD5E1" w:sz="1"/>
              <w:left w:val="single" w:color="CBD5E1" w:sz="1"/>
              <w:bottom w:val="single" w:color="CBD5E1" w:sz="1"/>
              <w:right w:val="single" w:color="CBD5E1" w:sz="1"/>
            </w:tcBorders>
            <w:shd w:fill="F1F5F9" w:val="clear"/>
            <w:tcMar>
              <w:top w:type="dxa" w:w="50"/>
              <w:left w:type="dxa" w:w="100"/>
              <w:bottom w:type="dxa" w:w="50"/>
              <w:right w:type="dxa" w:w="100"/>
            </w:tcMar>
          </w:tcPr>
          <w:p>
            <w:r>
              <w:rPr>
                <w:rFonts w:ascii="Arial" w:cs="Arial" w:eastAsia="Arial" w:hAnsi="Arial"/>
                <w:sz w:val="18"/>
                <w:szCs w:val="18"/>
              </w:rPr>
              <w:t xml:space="preserve">—</w:t>
            </w:r>
          </w:p>
        </w:tc>
        <w:tc>
          <w:tcPr>
            <w:tcW w:type="dxa" w:w="116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sz w:val="18"/>
                <w:szCs w:val="18"/>
              </w:rPr>
              <w:t xml:space="preserve">—</w:t>
            </w:r>
          </w:p>
        </w:tc>
        <w:tc>
          <w:tcPr>
            <w:tcW w:type="dxa" w:w="1160"/>
            <w:tcBorders>
              <w:top w:val="single" w:color="CBD5E1" w:sz="1"/>
              <w:left w:val="single" w:color="CBD5E1" w:sz="1"/>
              <w:bottom w:val="single" w:color="CBD5E1" w:sz="1"/>
              <w:right w:val="single" w:color="CBD5E1" w:sz="1"/>
            </w:tcBorders>
            <w:shd w:fill="F1F5F9" w:val="clear"/>
            <w:tcMar>
              <w:top w:type="dxa" w:w="50"/>
              <w:left w:type="dxa" w:w="100"/>
              <w:bottom w:type="dxa" w:w="50"/>
              <w:right w:type="dxa" w:w="100"/>
            </w:tcMar>
          </w:tcPr>
          <w:p>
            <w:r>
              <w:rPr>
                <w:rFonts w:ascii="Arial" w:cs="Arial" w:eastAsia="Arial" w:hAnsi="Arial"/>
                <w:sz w:val="18"/>
                <w:szCs w:val="18"/>
              </w:rPr>
              <w:t xml:space="preserve">✅</w:t>
            </w:r>
          </w:p>
        </w:tc>
        <w:tc>
          <w:tcPr>
            <w:tcW w:type="dxa" w:w="116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sz w:val="18"/>
                <w:szCs w:val="18"/>
              </w:rPr>
              <w:t xml:space="preserve">—</w:t>
            </w:r>
          </w:p>
        </w:tc>
      </w:tr>
      <w:tr>
        <w:tc>
          <w:tcPr>
            <w:tcW w:type="dxa" w:w="240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sz w:val="18"/>
                <w:szCs w:val="18"/>
              </w:rPr>
              <w:t xml:space="preserve">Email Marketing</w:t>
            </w:r>
          </w:p>
        </w:tc>
        <w:tc>
          <w:tcPr>
            <w:tcW w:type="dxa" w:w="116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sz w:val="18"/>
                <w:szCs w:val="18"/>
              </w:rPr>
              <w:t xml:space="preserve">✅*</w:t>
            </w:r>
          </w:p>
        </w:tc>
        <w:tc>
          <w:tcPr>
            <w:tcW w:type="dxa" w:w="1160"/>
            <w:tcBorders>
              <w:top w:val="single" w:color="CBD5E1" w:sz="1"/>
              <w:left w:val="single" w:color="CBD5E1" w:sz="1"/>
              <w:bottom w:val="single" w:color="CBD5E1" w:sz="1"/>
              <w:right w:val="single" w:color="CBD5E1" w:sz="1"/>
            </w:tcBorders>
            <w:shd w:fill="F1F5F9" w:val="clear"/>
            <w:tcMar>
              <w:top w:type="dxa" w:w="50"/>
              <w:left w:type="dxa" w:w="100"/>
              <w:bottom w:type="dxa" w:w="50"/>
              <w:right w:type="dxa" w:w="100"/>
            </w:tcMar>
          </w:tcPr>
          <w:p>
            <w:r>
              <w:rPr>
                <w:rFonts w:ascii="Arial" w:cs="Arial" w:eastAsia="Arial" w:hAnsi="Arial"/>
                <w:sz w:val="18"/>
                <w:szCs w:val="18"/>
              </w:rPr>
              <w:t xml:space="preserve">—</w:t>
            </w:r>
          </w:p>
        </w:tc>
        <w:tc>
          <w:tcPr>
            <w:tcW w:type="dxa" w:w="116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sz w:val="18"/>
                <w:szCs w:val="18"/>
              </w:rPr>
              <w:t xml:space="preserve">—</w:t>
            </w:r>
          </w:p>
        </w:tc>
        <w:tc>
          <w:tcPr>
            <w:tcW w:type="dxa" w:w="1160"/>
            <w:tcBorders>
              <w:top w:val="single" w:color="CBD5E1" w:sz="1"/>
              <w:left w:val="single" w:color="CBD5E1" w:sz="1"/>
              <w:bottom w:val="single" w:color="CBD5E1" w:sz="1"/>
              <w:right w:val="single" w:color="CBD5E1" w:sz="1"/>
            </w:tcBorders>
            <w:shd w:fill="F1F5F9" w:val="clear"/>
            <w:tcMar>
              <w:top w:type="dxa" w:w="50"/>
              <w:left w:type="dxa" w:w="100"/>
              <w:bottom w:type="dxa" w:w="50"/>
              <w:right w:type="dxa" w:w="100"/>
            </w:tcMar>
          </w:tcPr>
          <w:p>
            <w:r>
              <w:rPr>
                <w:rFonts w:ascii="Arial" w:cs="Arial" w:eastAsia="Arial" w:hAnsi="Arial"/>
                <w:sz w:val="18"/>
                <w:szCs w:val="18"/>
              </w:rPr>
              <w:t xml:space="preserve">—</w:t>
            </w:r>
          </w:p>
        </w:tc>
        <w:tc>
          <w:tcPr>
            <w:tcW w:type="dxa" w:w="116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sz w:val="18"/>
                <w:szCs w:val="18"/>
              </w:rPr>
              <w:t xml:space="preserve">✅</w:t>
            </w:r>
          </w:p>
        </w:tc>
        <w:tc>
          <w:tcPr>
            <w:tcW w:type="dxa" w:w="1160"/>
            <w:tcBorders>
              <w:top w:val="single" w:color="CBD5E1" w:sz="1"/>
              <w:left w:val="single" w:color="CBD5E1" w:sz="1"/>
              <w:bottom w:val="single" w:color="CBD5E1" w:sz="1"/>
              <w:right w:val="single" w:color="CBD5E1" w:sz="1"/>
            </w:tcBorders>
            <w:shd w:fill="F1F5F9" w:val="clear"/>
            <w:tcMar>
              <w:top w:type="dxa" w:w="50"/>
              <w:left w:type="dxa" w:w="100"/>
              <w:bottom w:type="dxa" w:w="50"/>
              <w:right w:type="dxa" w:w="100"/>
            </w:tcMar>
          </w:tcPr>
          <w:p>
            <w:r>
              <w:rPr>
                <w:rFonts w:ascii="Arial" w:cs="Arial" w:eastAsia="Arial" w:hAnsi="Arial"/>
                <w:sz w:val="18"/>
                <w:szCs w:val="18"/>
              </w:rPr>
              <w:t xml:space="preserve">—</w:t>
            </w:r>
          </w:p>
        </w:tc>
      </w:tr>
      <w:tr>
        <w:tc>
          <w:tcPr>
            <w:tcW w:type="dxa" w:w="2400"/>
            <w:tcBorders>
              <w:top w:val="single" w:color="CBD5E1" w:sz="1"/>
              <w:left w:val="single" w:color="CBD5E1" w:sz="1"/>
              <w:bottom w:val="single" w:color="CBD5E1" w:sz="1"/>
              <w:right w:val="single" w:color="CBD5E1" w:sz="1"/>
            </w:tcBorders>
            <w:shd w:fill="F1F5F9" w:val="clear"/>
            <w:tcMar>
              <w:top w:type="dxa" w:w="50"/>
              <w:left w:type="dxa" w:w="100"/>
              <w:bottom w:type="dxa" w:w="50"/>
              <w:right w:type="dxa" w:w="100"/>
            </w:tcMar>
          </w:tcPr>
          <w:p>
            <w:r>
              <w:rPr>
                <w:rFonts w:ascii="Arial" w:cs="Arial" w:eastAsia="Arial" w:hAnsi="Arial"/>
                <w:sz w:val="18"/>
                <w:szCs w:val="18"/>
              </w:rPr>
              <w:t xml:space="preserve">Personalized Links</w:t>
            </w:r>
          </w:p>
        </w:tc>
        <w:tc>
          <w:tcPr>
            <w:tcW w:type="dxa" w:w="1160"/>
            <w:tcBorders>
              <w:top w:val="single" w:color="CBD5E1" w:sz="1"/>
              <w:left w:val="single" w:color="CBD5E1" w:sz="1"/>
              <w:bottom w:val="single" w:color="CBD5E1" w:sz="1"/>
              <w:right w:val="single" w:color="CBD5E1" w:sz="1"/>
            </w:tcBorders>
            <w:shd w:fill="F1F5F9" w:val="clear"/>
            <w:tcMar>
              <w:top w:type="dxa" w:w="50"/>
              <w:left w:type="dxa" w:w="100"/>
              <w:bottom w:type="dxa" w:w="50"/>
              <w:right w:type="dxa" w:w="100"/>
            </w:tcMar>
          </w:tcPr>
          <w:p>
            <w:r>
              <w:rPr>
                <w:rFonts w:ascii="Arial" w:cs="Arial" w:eastAsia="Arial" w:hAnsi="Arial"/>
                <w:sz w:val="18"/>
                <w:szCs w:val="18"/>
              </w:rPr>
              <w:t xml:space="preserve">✅*</w:t>
            </w:r>
          </w:p>
        </w:tc>
        <w:tc>
          <w:tcPr>
            <w:tcW w:type="dxa" w:w="116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sz w:val="18"/>
                <w:szCs w:val="18"/>
              </w:rPr>
              <w:t xml:space="preserve">—</w:t>
            </w:r>
          </w:p>
        </w:tc>
        <w:tc>
          <w:tcPr>
            <w:tcW w:type="dxa" w:w="1160"/>
            <w:tcBorders>
              <w:top w:val="single" w:color="CBD5E1" w:sz="1"/>
              <w:left w:val="single" w:color="CBD5E1" w:sz="1"/>
              <w:bottom w:val="single" w:color="CBD5E1" w:sz="1"/>
              <w:right w:val="single" w:color="CBD5E1" w:sz="1"/>
            </w:tcBorders>
            <w:shd w:fill="F1F5F9" w:val="clear"/>
            <w:tcMar>
              <w:top w:type="dxa" w:w="50"/>
              <w:left w:type="dxa" w:w="100"/>
              <w:bottom w:type="dxa" w:w="50"/>
              <w:right w:type="dxa" w:w="100"/>
            </w:tcMar>
          </w:tcPr>
          <w:p>
            <w:r>
              <w:rPr>
                <w:rFonts w:ascii="Arial" w:cs="Arial" w:eastAsia="Arial" w:hAnsi="Arial"/>
                <w:sz w:val="18"/>
                <w:szCs w:val="18"/>
              </w:rPr>
              <w:t xml:space="preserve">—</w:t>
            </w:r>
          </w:p>
        </w:tc>
        <w:tc>
          <w:tcPr>
            <w:tcW w:type="dxa" w:w="116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sz w:val="18"/>
                <w:szCs w:val="18"/>
              </w:rPr>
              <w:t xml:space="preserve">—</w:t>
            </w:r>
          </w:p>
        </w:tc>
        <w:tc>
          <w:tcPr>
            <w:tcW w:type="dxa" w:w="1160"/>
            <w:tcBorders>
              <w:top w:val="single" w:color="CBD5E1" w:sz="1"/>
              <w:left w:val="single" w:color="CBD5E1" w:sz="1"/>
              <w:bottom w:val="single" w:color="CBD5E1" w:sz="1"/>
              <w:right w:val="single" w:color="CBD5E1" w:sz="1"/>
            </w:tcBorders>
            <w:shd w:fill="F1F5F9" w:val="clear"/>
            <w:tcMar>
              <w:top w:type="dxa" w:w="50"/>
              <w:left w:type="dxa" w:w="100"/>
              <w:bottom w:type="dxa" w:w="50"/>
              <w:right w:type="dxa" w:w="100"/>
            </w:tcMar>
          </w:tcPr>
          <w:p>
            <w:r>
              <w:rPr>
                <w:rFonts w:ascii="Arial" w:cs="Arial" w:eastAsia="Arial" w:hAnsi="Arial"/>
                <w:sz w:val="18"/>
                <w:szCs w:val="18"/>
              </w:rPr>
              <w:t xml:space="preserve">—</w:t>
            </w:r>
          </w:p>
        </w:tc>
        <w:tc>
          <w:tcPr>
            <w:tcW w:type="dxa" w:w="116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sz w:val="18"/>
                <w:szCs w:val="18"/>
              </w:rPr>
              <w:t xml:space="preserve">✅</w:t>
            </w:r>
          </w:p>
        </w:tc>
      </w:tr>
      <w:tr>
        <w:tc>
          <w:tcPr>
            <w:tcW w:type="dxa" w:w="240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sz w:val="18"/>
                <w:szCs w:val="18"/>
              </w:rPr>
              <w:t xml:space="preserve">Review/Approval Workflow</w:t>
            </w:r>
          </w:p>
        </w:tc>
        <w:tc>
          <w:tcPr>
            <w:tcW w:type="dxa" w:w="116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sz w:val="18"/>
                <w:szCs w:val="18"/>
              </w:rPr>
              <w:t xml:space="preserve">✅</w:t>
            </w:r>
          </w:p>
        </w:tc>
        <w:tc>
          <w:tcPr>
            <w:tcW w:type="dxa" w:w="1160"/>
            <w:tcBorders>
              <w:top w:val="single" w:color="CBD5E1" w:sz="1"/>
              <w:left w:val="single" w:color="CBD5E1" w:sz="1"/>
              <w:bottom w:val="single" w:color="CBD5E1" w:sz="1"/>
              <w:right w:val="single" w:color="CBD5E1" w:sz="1"/>
            </w:tcBorders>
            <w:shd w:fill="F1F5F9" w:val="clear"/>
            <w:tcMar>
              <w:top w:type="dxa" w:w="50"/>
              <w:left w:type="dxa" w:w="100"/>
              <w:bottom w:type="dxa" w:w="50"/>
              <w:right w:type="dxa" w:w="100"/>
            </w:tcMar>
          </w:tcPr>
          <w:p>
            <w:r>
              <w:rPr>
                <w:rFonts w:ascii="Arial" w:cs="Arial" w:eastAsia="Arial" w:hAnsi="Arial"/>
                <w:sz w:val="18"/>
                <w:szCs w:val="18"/>
              </w:rPr>
              <w:t xml:space="preserve">—</w:t>
            </w:r>
          </w:p>
        </w:tc>
        <w:tc>
          <w:tcPr>
            <w:tcW w:type="dxa" w:w="116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sz w:val="18"/>
                <w:szCs w:val="18"/>
              </w:rPr>
              <w:t xml:space="preserve">✅</w:t>
            </w:r>
          </w:p>
        </w:tc>
        <w:tc>
          <w:tcPr>
            <w:tcW w:type="dxa" w:w="1160"/>
            <w:tcBorders>
              <w:top w:val="single" w:color="CBD5E1" w:sz="1"/>
              <w:left w:val="single" w:color="CBD5E1" w:sz="1"/>
              <w:bottom w:val="single" w:color="CBD5E1" w:sz="1"/>
              <w:right w:val="single" w:color="CBD5E1" w:sz="1"/>
            </w:tcBorders>
            <w:shd w:fill="F1F5F9" w:val="clear"/>
            <w:tcMar>
              <w:top w:type="dxa" w:w="50"/>
              <w:left w:type="dxa" w:w="100"/>
              <w:bottom w:type="dxa" w:w="50"/>
              <w:right w:type="dxa" w:w="100"/>
            </w:tcMar>
          </w:tcPr>
          <w:p>
            <w:r>
              <w:rPr>
                <w:rFonts w:ascii="Arial" w:cs="Arial" w:eastAsia="Arial" w:hAnsi="Arial"/>
                <w:sz w:val="18"/>
                <w:szCs w:val="18"/>
              </w:rPr>
              <w:t xml:space="preserve">—</w:t>
            </w:r>
          </w:p>
        </w:tc>
        <w:tc>
          <w:tcPr>
            <w:tcW w:type="dxa" w:w="116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sz w:val="18"/>
                <w:szCs w:val="18"/>
              </w:rPr>
              <w:t xml:space="preserve">—</w:t>
            </w:r>
          </w:p>
        </w:tc>
        <w:tc>
          <w:tcPr>
            <w:tcW w:type="dxa" w:w="1160"/>
            <w:tcBorders>
              <w:top w:val="single" w:color="CBD5E1" w:sz="1"/>
              <w:left w:val="single" w:color="CBD5E1" w:sz="1"/>
              <w:bottom w:val="single" w:color="CBD5E1" w:sz="1"/>
              <w:right w:val="single" w:color="CBD5E1" w:sz="1"/>
            </w:tcBorders>
            <w:shd w:fill="F1F5F9" w:val="clear"/>
            <w:tcMar>
              <w:top w:type="dxa" w:w="50"/>
              <w:left w:type="dxa" w:w="100"/>
              <w:bottom w:type="dxa" w:w="50"/>
              <w:right w:type="dxa" w:w="100"/>
            </w:tcMar>
          </w:tcPr>
          <w:p>
            <w:r>
              <w:rPr>
                <w:rFonts w:ascii="Arial" w:cs="Arial" w:eastAsia="Arial" w:hAnsi="Arial"/>
                <w:sz w:val="18"/>
                <w:szCs w:val="18"/>
              </w:rPr>
              <w:t xml:space="preserve">—</w:t>
            </w:r>
          </w:p>
        </w:tc>
      </w:tr>
    </w:tbl>
    <w:p>
      <w:pPr>
        <w:spacing w:after="120"/>
      </w:pPr>
      <w:r>
        <w:rPr>
          <w:sz w:val="22"/>
          <w:szCs w:val="22"/>
        </w:rPr>
        <w:t xml:space="preserve">* Features from dandy-ent that will be migrated into LP Studio.</w:t>
      </w:r>
    </w:p>
    <w:p>
      <w:r>
        <w:br w:type="page"/>
      </w:r>
    </w:p>
    <w:p>
      <w:pPr>
        <w:pStyle w:val="Heading1"/>
      </w:pPr>
      <w:r>
        <w:t xml:space="preserve">4. Positioning &amp; Messaging</w:t>
      </w:r>
    </w:p>
    <w:p>
      <w:pPr>
        <w:pStyle w:val="Heading2"/>
      </w:pPr>
      <w:r>
        <w:t xml:space="preserve">4.1 Positioning Statement</w:t>
      </w:r>
    </w:p>
    <w:p>
      <w:pPr>
        <w:pBdr>
          <w:left w:val="single" w:color="6C5CE7" w:sz="8" w:space="12"/>
        </w:pBdr>
        <w:spacing w:after="200"/>
        <w:ind w:left="400" w:right="400"/>
      </w:pPr>
      <w:r>
        <w:rPr>
          <w:i/>
          <w:iCs/>
          <w:sz w:val="22"/>
          <w:szCs w:val="22"/>
        </w:rPr>
        <w:t xml:space="preserve">LP Studio is the AI-first content platform that lets revenue teams create, test, and optimize landing pages in seconds — not weeks. By combining AI page generation, intelligent traffic routing, built-in heatmaps, and full-funnel lead capture in one platform, LP Studio eliminates the 4–8 week content creation cycle and gives every team member the power to ship high-converting, on-brand pages without designers, developers, or endless approval chains.</w:t>
      </w:r>
    </w:p>
    <w:p>
      <w:pPr>
        <w:pStyle w:val="Heading2"/>
      </w:pPr>
      <w:r>
        <w:t xml:space="preserve">4.2 Core Narrative: The Old Way vs. The New Way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BD5E1" w:sz="1"/>
              <w:left w:val="single" w:color="CBD5E1" w:sz="1"/>
              <w:bottom w:val="single" w:color="CBD5E1" w:sz="1"/>
              <w:right w:val="single" w:color="CBD5E1" w:sz="1"/>
            </w:tcBorders>
            <w:shd w:fill="1E293B" w:val="clear"/>
            <w:tcMar>
              <w:top w:type="dxa" w:w="60"/>
              <w:left w:type="dxa" w:w="100"/>
              <w:bottom w:type="dxa" w:w="60"/>
              <w:right w:type="dxa" w:w="100"/>
            </w:tcMar>
          </w:tcPr>
          <w:p>
            <w:r>
              <w:rPr>
                <w:rFonts w:ascii="Arial" w:cs="Arial" w:eastAsia="Arial" w:hAnsi="Arial"/>
                <w:b/>
                <w:bCs/>
                <w:color w:val="FFFFFF"/>
                <w:sz w:val="19"/>
                <w:szCs w:val="19"/>
              </w:rPr>
              <w:t xml:space="preserve">The Old Way (4–8 weeks per asset)</w:t>
            </w:r>
          </w:p>
        </w:tc>
        <w:tc>
          <w:tcPr>
            <w:tcW w:type="dxa" w:w="4680"/>
            <w:tcBorders>
              <w:top w:val="single" w:color="CBD5E1" w:sz="1"/>
              <w:left w:val="single" w:color="CBD5E1" w:sz="1"/>
              <w:bottom w:val="single" w:color="CBD5E1" w:sz="1"/>
              <w:right w:val="single" w:color="CBD5E1" w:sz="1"/>
            </w:tcBorders>
            <w:shd w:fill="1E293B" w:val="clear"/>
            <w:tcMar>
              <w:top w:type="dxa" w:w="60"/>
              <w:left w:type="dxa" w:w="100"/>
              <w:bottom w:type="dxa" w:w="60"/>
              <w:right w:type="dxa" w:w="100"/>
            </w:tcMar>
          </w:tcPr>
          <w:p>
            <w:r>
              <w:rPr>
                <w:rFonts w:ascii="Arial" w:cs="Arial" w:eastAsia="Arial" w:hAnsi="Arial"/>
                <w:b/>
                <w:bCs/>
                <w:color w:val="FFFFFF"/>
                <w:sz w:val="19"/>
                <w:szCs w:val="19"/>
              </w:rPr>
              <w:t xml:space="preserve">The LP Studio Way (seconds)</w:t>
            </w:r>
          </w:p>
        </w:tc>
      </w:tr>
      <w:tr>
        <w:tc>
          <w:tcPr>
            <w:tcW w:type="dxa" w:w="468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sz w:val="18"/>
                <w:szCs w:val="18"/>
              </w:rPr>
              <w:t xml:space="preserve">Brief → wireframe → design review → copy rounds → dev sprint → QA → launch</w:t>
            </w:r>
          </w:p>
        </w:tc>
        <w:tc>
          <w:tcPr>
            <w:tcW w:type="dxa" w:w="468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sz w:val="18"/>
                <w:szCs w:val="18"/>
              </w:rPr>
              <w:t xml:space="preserve">Describe what you need → AI generates page → tweak → publish</w:t>
            </w:r>
          </w:p>
        </w:tc>
      </w:tr>
      <w:tr>
        <w:tc>
          <w:tcPr>
            <w:tcW w:type="dxa" w:w="4680"/>
            <w:tcBorders>
              <w:top w:val="single" w:color="CBD5E1" w:sz="1"/>
              <w:left w:val="single" w:color="CBD5E1" w:sz="1"/>
              <w:bottom w:val="single" w:color="CBD5E1" w:sz="1"/>
              <w:right w:val="single" w:color="CBD5E1" w:sz="1"/>
            </w:tcBorders>
            <w:shd w:fill="F1F5F9" w:val="clear"/>
            <w:tcMar>
              <w:top w:type="dxa" w:w="50"/>
              <w:left w:type="dxa" w:w="100"/>
              <w:bottom w:type="dxa" w:w="50"/>
              <w:right w:type="dxa" w:w="100"/>
            </w:tcMar>
          </w:tcPr>
          <w:p>
            <w:r>
              <w:rPr>
                <w:rFonts w:ascii="Arial" w:cs="Arial" w:eastAsia="Arial" w:hAnsi="Arial"/>
                <w:sz w:val="18"/>
                <w:szCs w:val="18"/>
              </w:rPr>
              <w:t xml:space="preserve">Sales asks marketing for a landing page; waits weeks or never gets it</w:t>
            </w:r>
          </w:p>
        </w:tc>
        <w:tc>
          <w:tcPr>
            <w:tcW w:type="dxa" w:w="4680"/>
            <w:tcBorders>
              <w:top w:val="single" w:color="CBD5E1" w:sz="1"/>
              <w:left w:val="single" w:color="CBD5E1" w:sz="1"/>
              <w:bottom w:val="single" w:color="CBD5E1" w:sz="1"/>
              <w:right w:val="single" w:color="CBD5E1" w:sz="1"/>
            </w:tcBorders>
            <w:shd w:fill="F1F5F9" w:val="clear"/>
            <w:tcMar>
              <w:top w:type="dxa" w:w="50"/>
              <w:left w:type="dxa" w:w="100"/>
              <w:bottom w:type="dxa" w:w="50"/>
              <w:right w:type="dxa" w:w="100"/>
            </w:tcMar>
          </w:tcPr>
          <w:p>
            <w:r>
              <w:rPr>
                <w:rFonts w:ascii="Arial" w:cs="Arial" w:eastAsia="Arial" w:hAnsi="Arial"/>
                <w:sz w:val="18"/>
                <w:szCs w:val="18"/>
              </w:rPr>
              <w:t xml:space="preserve">Sales creates their own on-brand page in 60 seconds</w:t>
            </w:r>
          </w:p>
        </w:tc>
      </w:tr>
      <w:tr>
        <w:tc>
          <w:tcPr>
            <w:tcW w:type="dxa" w:w="468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sz w:val="18"/>
                <w:szCs w:val="18"/>
              </w:rPr>
              <w:t xml:space="preserve">A/B test runs for weeks; 50/50 split wastes traffic on losers</w:t>
            </w:r>
          </w:p>
        </w:tc>
        <w:tc>
          <w:tcPr>
            <w:tcW w:type="dxa" w:w="468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sz w:val="18"/>
                <w:szCs w:val="18"/>
              </w:rPr>
              <w:t xml:space="preserve">Smart Traffic learns in real time; routes to winners automatically</w:t>
            </w:r>
          </w:p>
        </w:tc>
      </w:tr>
      <w:tr>
        <w:tc>
          <w:tcPr>
            <w:tcW w:type="dxa" w:w="4680"/>
            <w:tcBorders>
              <w:top w:val="single" w:color="CBD5E1" w:sz="1"/>
              <w:left w:val="single" w:color="CBD5E1" w:sz="1"/>
              <w:bottom w:val="single" w:color="CBD5E1" w:sz="1"/>
              <w:right w:val="single" w:color="CBD5E1" w:sz="1"/>
            </w:tcBorders>
            <w:shd w:fill="F1F5F9" w:val="clear"/>
            <w:tcMar>
              <w:top w:type="dxa" w:w="50"/>
              <w:left w:type="dxa" w:w="100"/>
              <w:bottom w:type="dxa" w:w="50"/>
              <w:right w:type="dxa" w:w="100"/>
            </w:tcMar>
          </w:tcPr>
          <w:p>
            <w:r>
              <w:rPr>
                <w:rFonts w:ascii="Arial" w:cs="Arial" w:eastAsia="Arial" w:hAnsi="Arial"/>
                <w:sz w:val="18"/>
                <w:szCs w:val="18"/>
              </w:rPr>
              <w:t xml:space="preserve">Need Hotjar + Unbounce + HubSpot + form builder + spreadsheets</w:t>
            </w:r>
          </w:p>
        </w:tc>
        <w:tc>
          <w:tcPr>
            <w:tcW w:type="dxa" w:w="4680"/>
            <w:tcBorders>
              <w:top w:val="single" w:color="CBD5E1" w:sz="1"/>
              <w:left w:val="single" w:color="CBD5E1" w:sz="1"/>
              <w:bottom w:val="single" w:color="CBD5E1" w:sz="1"/>
              <w:right w:val="single" w:color="CBD5E1" w:sz="1"/>
            </w:tcBorders>
            <w:shd w:fill="F1F5F9" w:val="clear"/>
            <w:tcMar>
              <w:top w:type="dxa" w:w="50"/>
              <w:left w:type="dxa" w:w="100"/>
              <w:bottom w:type="dxa" w:w="50"/>
              <w:right w:type="dxa" w:w="100"/>
            </w:tcMar>
          </w:tcPr>
          <w:p>
            <w:r>
              <w:rPr>
                <w:rFonts w:ascii="Arial" w:cs="Arial" w:eastAsia="Arial" w:hAnsi="Arial"/>
                <w:sz w:val="18"/>
                <w:szCs w:val="18"/>
              </w:rPr>
              <w:t xml:space="preserve">One platform: builder + testing + heatmaps + forms + analytics + CRM</w:t>
            </w:r>
          </w:p>
        </w:tc>
      </w:tr>
      <w:tr>
        <w:tc>
          <w:tcPr>
            <w:tcW w:type="dxa" w:w="468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sz w:val="18"/>
                <w:szCs w:val="18"/>
              </w:rPr>
              <w:t xml:space="preserve">Off-brand templates cobbled together by reps</w:t>
            </w:r>
          </w:p>
        </w:tc>
        <w:tc>
          <w:tcPr>
            <w:tcW w:type="dxa" w:w="468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sz w:val="18"/>
                <w:szCs w:val="18"/>
              </w:rPr>
              <w:t xml:space="preserve">Every page inherits brand settings: colors, fonts, tone, copy guidelines</w:t>
            </w:r>
          </w:p>
        </w:tc>
      </w:tr>
      <w:tr>
        <w:tc>
          <w:tcPr>
            <w:tcW w:type="dxa" w:w="4680"/>
            <w:tcBorders>
              <w:top w:val="single" w:color="CBD5E1" w:sz="1"/>
              <w:left w:val="single" w:color="CBD5E1" w:sz="1"/>
              <w:bottom w:val="single" w:color="CBD5E1" w:sz="1"/>
              <w:right w:val="single" w:color="CBD5E1" w:sz="1"/>
            </w:tcBorders>
            <w:shd w:fill="F1F5F9" w:val="clear"/>
            <w:tcMar>
              <w:top w:type="dxa" w:w="50"/>
              <w:left w:type="dxa" w:w="100"/>
              <w:bottom w:type="dxa" w:w="50"/>
              <w:right w:type="dxa" w:w="100"/>
            </w:tcMar>
          </w:tcPr>
          <w:p>
            <w:r>
              <w:rPr>
                <w:rFonts w:ascii="Arial" w:cs="Arial" w:eastAsia="Arial" w:hAnsi="Arial"/>
                <w:sz w:val="18"/>
                <w:szCs w:val="18"/>
              </w:rPr>
              <w:t xml:space="preserve">No visibility into what converts or why</w:t>
            </w:r>
          </w:p>
        </w:tc>
        <w:tc>
          <w:tcPr>
            <w:tcW w:type="dxa" w:w="4680"/>
            <w:tcBorders>
              <w:top w:val="single" w:color="CBD5E1" w:sz="1"/>
              <w:left w:val="single" w:color="CBD5E1" w:sz="1"/>
              <w:bottom w:val="single" w:color="CBD5E1" w:sz="1"/>
              <w:right w:val="single" w:color="CBD5E1" w:sz="1"/>
            </w:tcBorders>
            <w:shd w:fill="F1F5F9" w:val="clear"/>
            <w:tcMar>
              <w:top w:type="dxa" w:w="50"/>
              <w:left w:type="dxa" w:w="100"/>
              <w:bottom w:type="dxa" w:w="50"/>
              <w:right w:type="dxa" w:w="100"/>
            </w:tcMar>
          </w:tcPr>
          <w:p>
            <w:r>
              <w:rPr>
                <w:rFonts w:ascii="Arial" w:cs="Arial" w:eastAsia="Arial" w:hAnsi="Arial"/>
                <w:sz w:val="18"/>
                <w:szCs w:val="18"/>
              </w:rPr>
              <w:t xml:space="preserve">Heatmaps + scroll depth + geo analytics + Smart Traffic insights</w:t>
            </w:r>
          </w:p>
        </w:tc>
      </w:tr>
    </w:tbl>
    <w:p>
      <w:pPr>
        <w:spacing w:after="80"/>
      </w:pPr>
    </w:p>
    <w:p>
      <w:pPr>
        <w:pStyle w:val="Heading2"/>
      </w:pPr>
      <w:r>
        <w:t xml:space="preserve">4.3 Messaging by Persona</w:t>
      </w:r>
    </w:p>
    <w:p>
      <w:pPr>
        <w:pStyle w:val="Heading3"/>
      </w:pPr>
      <w:r>
        <w:t xml:space="preserve">For the VP of Marketing / CMO</w:t>
      </w:r>
    </w:p>
    <w:p>
      <w:pPr>
        <w:spacing w:after="80"/>
      </w:pPr>
      <w:r>
        <w:rPr>
          <w:b/>
          <w:bCs/>
          <w:sz w:val="22"/>
          <w:szCs w:val="22"/>
        </w:rPr>
        <w:t xml:space="preserve">Hook: </w:t>
      </w:r>
      <w:r>
        <w:rPr>
          <w:sz w:val="22"/>
          <w:szCs w:val="22"/>
        </w:rPr>
        <w:t xml:space="preserve">“Your team is spending 80% of their time on production and 20% on strategy. Flip that ratio.”</w:t>
      </w:r>
    </w:p>
    <w:p>
      <w:pPr>
        <w:spacing w:after="120"/>
      </w:pPr>
      <w:r>
        <w:rPr>
          <w:sz w:val="22"/>
          <w:szCs w:val="22"/>
        </w:rPr>
        <w:t xml:space="preserve">LP Studio’s AI generates landing pages from a brief in seconds, freeing your team to focus on messaging, positioning, and creative strategy instead of wrangling wireframes and dev tickets. Built-in Smart Traffic optimizes conversion automatically, so you get results without babysitting A/B tests for weeks.</w:t>
      </w:r>
    </w:p>
    <w:p>
      <w:pPr>
        <w:pStyle w:val="Heading3"/>
      </w:pPr>
      <w:r>
        <w:t xml:space="preserve">For the CRO / VP of Revenue</w:t>
      </w:r>
    </w:p>
    <w:p>
      <w:pPr>
        <w:spacing w:after="80"/>
      </w:pPr>
      <w:r>
        <w:rPr>
          <w:b/>
          <w:bCs/>
          <w:sz w:val="22"/>
          <w:szCs w:val="22"/>
        </w:rPr>
        <w:t xml:space="preserve">Hook: </w:t>
      </w:r>
      <w:r>
        <w:rPr>
          <w:sz w:val="22"/>
          <w:szCs w:val="22"/>
        </w:rPr>
        <w:t xml:space="preserve">“Every day your landing pages aren’t optimized, you’re leaving pipeline on the table.”</w:t>
      </w:r>
    </w:p>
    <w:p>
      <w:pPr>
        <w:spacing w:after="120"/>
      </w:pPr>
      <w:r>
        <w:rPr>
          <w:sz w:val="22"/>
          <w:szCs w:val="22"/>
        </w:rPr>
        <w:t xml:space="preserve">LP Studio’s Thompson Sampling engine routes every visitor to the variant most likely to convert them — based on their device, location, traffic source, and behavior. That’s ~30% more conversions from the same traffic, with zero manual optimization.</w:t>
      </w:r>
    </w:p>
    <w:p>
      <w:pPr>
        <w:pStyle w:val="Heading3"/>
      </w:pPr>
      <w:r>
        <w:t xml:space="preserve">For the Head of Sales Enablement</w:t>
      </w:r>
    </w:p>
    <w:p>
      <w:pPr>
        <w:spacing w:after="80"/>
      </w:pPr>
      <w:r>
        <w:rPr>
          <w:b/>
          <w:bCs/>
          <w:sz w:val="22"/>
          <w:szCs w:val="22"/>
        </w:rPr>
        <w:t xml:space="preserve">Hook: </w:t>
      </w:r>
      <w:r>
        <w:rPr>
          <w:sz w:val="22"/>
          <w:szCs w:val="22"/>
        </w:rPr>
        <w:t xml:space="preserve">“Stop telling reps to ‘wait for marketing.’ Give them the platform to create their own content.”</w:t>
      </w:r>
    </w:p>
    <w:p>
      <w:pPr>
        <w:spacing w:after="120"/>
      </w:pPr>
      <w:r>
        <w:rPr>
          <w:sz w:val="22"/>
          <w:szCs w:val="22"/>
        </w:rPr>
        <w:t xml:space="preserve">LP Studio lets sales reps generate personalized landing pages, microsites, one-pagers, and email content in seconds. Everything inherits brand settings automatically, so reps can self-serve without going off-brand. Personalized tracking links attribute every view and click back to the specific prospect.</w:t>
      </w:r>
    </w:p>
    <w:p>
      <w:pPr>
        <w:pStyle w:val="Heading3"/>
      </w:pPr>
      <w:r>
        <w:t xml:space="preserve">For RevOps</w:t>
      </w:r>
    </w:p>
    <w:p>
      <w:pPr>
        <w:spacing w:after="80"/>
      </w:pPr>
      <w:r>
        <w:rPr>
          <w:b/>
          <w:bCs/>
          <w:sz w:val="22"/>
          <w:szCs w:val="22"/>
        </w:rPr>
        <w:t xml:space="preserve">Hook: </w:t>
      </w:r>
      <w:r>
        <w:rPr>
          <w:sz w:val="22"/>
          <w:szCs w:val="22"/>
        </w:rPr>
        <w:t xml:space="preserve">“Replace 5–7 disconnected tools with one platform and cut tool costs by 60%.”</w:t>
      </w:r>
    </w:p>
    <w:p>
      <w:pPr>
        <w:spacing w:after="120"/>
      </w:pPr>
      <w:r>
        <w:rPr>
          <w:sz w:val="22"/>
          <w:szCs w:val="22"/>
        </w:rPr>
        <w:t xml:space="preserve">LP Studio replaces your landing page builder (Unbounce), heatmap tool (Hotjar), A/B testing platform (Optimizely), form builder (Typeform), and analytics dashboard (Google Analytics custom reports) with a single platform. One vendor, one login, one source of truth from first click to CRM.</w:t>
      </w:r>
    </w:p>
    <w:p>
      <w:r>
        <w:br w:type="page"/>
      </w:r>
    </w:p>
    <w:p>
      <w:pPr>
        <w:pStyle w:val="Heading1"/>
      </w:pPr>
      <w:r>
        <w:t xml:space="preserve">5. Go-to-Market Strategy</w:t>
      </w:r>
    </w:p>
    <w:p>
      <w:pPr>
        <w:pStyle w:val="Heading2"/>
      </w:pPr>
      <w:r>
        <w:t xml:space="preserve">5.1 Target Segments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600"/>
        <w:gridCol w:w="1560"/>
        <w:gridCol w:w="1600"/>
      </w:tblGrid>
      <w:tr>
        <w:tc>
          <w:tcPr>
            <w:tcW w:type="dxa" w:w="1600"/>
            <w:tcBorders>
              <w:top w:val="single" w:color="CBD5E1" w:sz="1"/>
              <w:left w:val="single" w:color="CBD5E1" w:sz="1"/>
              <w:bottom w:val="single" w:color="CBD5E1" w:sz="1"/>
              <w:right w:val="single" w:color="CBD5E1" w:sz="1"/>
            </w:tcBorders>
            <w:shd w:fill="1E293B" w:val="clear"/>
            <w:tcMar>
              <w:top w:type="dxa" w:w="60"/>
              <w:left w:type="dxa" w:w="100"/>
              <w:bottom w:type="dxa" w:w="60"/>
              <w:right w:type="dxa" w:w="100"/>
            </w:tcMar>
          </w:tcPr>
          <w:p>
            <w:r>
              <w:rPr>
                <w:rFonts w:ascii="Arial" w:cs="Arial" w:eastAsia="Arial" w:hAnsi="Arial"/>
                <w:b/>
                <w:bCs/>
                <w:color w:val="FFFFFF"/>
                <w:sz w:val="19"/>
                <w:szCs w:val="19"/>
              </w:rPr>
              <w:t xml:space="preserve">Segment</w:t>
            </w:r>
          </w:p>
        </w:tc>
        <w:tc>
          <w:tcPr>
            <w:tcW w:type="dxa" w:w="2000"/>
            <w:tcBorders>
              <w:top w:val="single" w:color="CBD5E1" w:sz="1"/>
              <w:left w:val="single" w:color="CBD5E1" w:sz="1"/>
              <w:bottom w:val="single" w:color="CBD5E1" w:sz="1"/>
              <w:right w:val="single" w:color="CBD5E1" w:sz="1"/>
            </w:tcBorders>
            <w:shd w:fill="1E293B" w:val="clear"/>
            <w:tcMar>
              <w:top w:type="dxa" w:w="60"/>
              <w:left w:type="dxa" w:w="100"/>
              <w:bottom w:type="dxa" w:w="60"/>
              <w:right w:type="dxa" w:w="100"/>
            </w:tcMar>
          </w:tcPr>
          <w:p>
            <w:r>
              <w:rPr>
                <w:rFonts w:ascii="Arial" w:cs="Arial" w:eastAsia="Arial" w:hAnsi="Arial"/>
                <w:b/>
                <w:bCs/>
                <w:color w:val="FFFFFF"/>
                <w:sz w:val="19"/>
                <w:szCs w:val="19"/>
              </w:rPr>
              <w:t xml:space="preserve">Company Size</w:t>
            </w:r>
          </w:p>
        </w:tc>
        <w:tc>
          <w:tcPr>
            <w:tcW w:type="dxa" w:w="2600"/>
            <w:tcBorders>
              <w:top w:val="single" w:color="CBD5E1" w:sz="1"/>
              <w:left w:val="single" w:color="CBD5E1" w:sz="1"/>
              <w:bottom w:val="single" w:color="CBD5E1" w:sz="1"/>
              <w:right w:val="single" w:color="CBD5E1" w:sz="1"/>
            </w:tcBorders>
            <w:shd w:fill="1E293B" w:val="clear"/>
            <w:tcMar>
              <w:top w:type="dxa" w:w="60"/>
              <w:left w:type="dxa" w:w="100"/>
              <w:bottom w:type="dxa" w:w="60"/>
              <w:right w:type="dxa" w:w="100"/>
            </w:tcMar>
          </w:tcPr>
          <w:p>
            <w:r>
              <w:rPr>
                <w:rFonts w:ascii="Arial" w:cs="Arial" w:eastAsia="Arial" w:hAnsi="Arial"/>
                <w:b/>
                <w:bCs/>
                <w:color w:val="FFFFFF"/>
                <w:sz w:val="19"/>
                <w:szCs w:val="19"/>
              </w:rPr>
              <w:t xml:space="preserve">Buyer</w:t>
            </w:r>
          </w:p>
        </w:tc>
        <w:tc>
          <w:tcPr>
            <w:tcW w:type="dxa" w:w="1560"/>
            <w:tcBorders>
              <w:top w:val="single" w:color="CBD5E1" w:sz="1"/>
              <w:left w:val="single" w:color="CBD5E1" w:sz="1"/>
              <w:bottom w:val="single" w:color="CBD5E1" w:sz="1"/>
              <w:right w:val="single" w:color="CBD5E1" w:sz="1"/>
            </w:tcBorders>
            <w:shd w:fill="1E293B" w:val="clear"/>
            <w:tcMar>
              <w:top w:type="dxa" w:w="60"/>
              <w:left w:type="dxa" w:w="100"/>
              <w:bottom w:type="dxa" w:w="60"/>
              <w:right w:type="dxa" w:w="100"/>
            </w:tcMar>
          </w:tcPr>
          <w:p>
            <w:r>
              <w:rPr>
                <w:rFonts w:ascii="Arial" w:cs="Arial" w:eastAsia="Arial" w:hAnsi="Arial"/>
                <w:b/>
                <w:bCs/>
                <w:color w:val="FFFFFF"/>
                <w:sz w:val="19"/>
                <w:szCs w:val="19"/>
              </w:rPr>
              <w:t xml:space="preserve">Use Case</w:t>
            </w:r>
          </w:p>
        </w:tc>
        <w:tc>
          <w:tcPr>
            <w:tcW w:type="dxa" w:w="1600"/>
            <w:tcBorders>
              <w:top w:val="single" w:color="CBD5E1" w:sz="1"/>
              <w:left w:val="single" w:color="CBD5E1" w:sz="1"/>
              <w:bottom w:val="single" w:color="CBD5E1" w:sz="1"/>
              <w:right w:val="single" w:color="CBD5E1" w:sz="1"/>
            </w:tcBorders>
            <w:shd w:fill="1E293B" w:val="clear"/>
            <w:tcMar>
              <w:top w:type="dxa" w:w="60"/>
              <w:left w:type="dxa" w:w="100"/>
              <w:bottom w:type="dxa" w:w="60"/>
              <w:right w:type="dxa" w:w="100"/>
            </w:tcMar>
          </w:tcPr>
          <w:p>
            <w:r>
              <w:rPr>
                <w:rFonts w:ascii="Arial" w:cs="Arial" w:eastAsia="Arial" w:hAnsi="Arial"/>
                <w:b/>
                <w:bCs/>
                <w:color w:val="FFFFFF"/>
                <w:sz w:val="19"/>
                <w:szCs w:val="19"/>
              </w:rPr>
              <w:t xml:space="preserve">Tier</w:t>
            </w:r>
          </w:p>
        </w:tc>
      </w:tr>
      <w:tr>
        <w:tc>
          <w:tcPr>
            <w:tcW w:type="dxa" w:w="160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sz w:val="18"/>
                <w:szCs w:val="18"/>
              </w:rPr>
              <w:t xml:space="preserve">Growth SaaS</w:t>
            </w:r>
          </w:p>
        </w:tc>
        <w:tc>
          <w:tcPr>
            <w:tcW w:type="dxa" w:w="200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sz w:val="18"/>
                <w:szCs w:val="18"/>
              </w:rPr>
              <w:t xml:space="preserve">50–500 employees</w:t>
            </w:r>
          </w:p>
        </w:tc>
        <w:tc>
          <w:tcPr>
            <w:tcW w:type="dxa" w:w="260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sz w:val="18"/>
                <w:szCs w:val="18"/>
              </w:rPr>
              <w:t xml:space="preserve">VP Marketing, Head of Demand Gen</w:t>
            </w:r>
          </w:p>
        </w:tc>
        <w:tc>
          <w:tcPr>
            <w:tcW w:type="dxa" w:w="156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sz w:val="18"/>
                <w:szCs w:val="18"/>
              </w:rPr>
              <w:t xml:space="preserve">Campaign pages</w:t>
            </w:r>
          </w:p>
        </w:tc>
        <w:tc>
          <w:tcPr>
            <w:tcW w:type="dxa" w:w="160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sz w:val="18"/>
                <w:szCs w:val="18"/>
              </w:rPr>
              <w:t xml:space="preserve">Growth $199/mo</w:t>
            </w:r>
          </w:p>
        </w:tc>
      </w:tr>
      <w:tr>
        <w:tc>
          <w:tcPr>
            <w:tcW w:type="dxa" w:w="1600"/>
            <w:tcBorders>
              <w:top w:val="single" w:color="CBD5E1" w:sz="1"/>
              <w:left w:val="single" w:color="CBD5E1" w:sz="1"/>
              <w:bottom w:val="single" w:color="CBD5E1" w:sz="1"/>
              <w:right w:val="single" w:color="CBD5E1" w:sz="1"/>
            </w:tcBorders>
            <w:shd w:fill="F1F5F9" w:val="clear"/>
            <w:tcMar>
              <w:top w:type="dxa" w:w="50"/>
              <w:left w:type="dxa" w:w="100"/>
              <w:bottom w:type="dxa" w:w="50"/>
              <w:right w:type="dxa" w:w="100"/>
            </w:tcMar>
          </w:tcPr>
          <w:p>
            <w:r>
              <w:rPr>
                <w:rFonts w:ascii="Arial" w:cs="Arial" w:eastAsia="Arial" w:hAnsi="Arial"/>
                <w:sz w:val="18"/>
                <w:szCs w:val="18"/>
              </w:rPr>
              <w:t xml:space="preserve">Mid-Market B2B</w:t>
            </w:r>
          </w:p>
        </w:tc>
        <w:tc>
          <w:tcPr>
            <w:tcW w:type="dxa" w:w="2000"/>
            <w:tcBorders>
              <w:top w:val="single" w:color="CBD5E1" w:sz="1"/>
              <w:left w:val="single" w:color="CBD5E1" w:sz="1"/>
              <w:bottom w:val="single" w:color="CBD5E1" w:sz="1"/>
              <w:right w:val="single" w:color="CBD5E1" w:sz="1"/>
            </w:tcBorders>
            <w:shd w:fill="F1F5F9" w:val="clear"/>
            <w:tcMar>
              <w:top w:type="dxa" w:w="50"/>
              <w:left w:type="dxa" w:w="100"/>
              <w:bottom w:type="dxa" w:w="50"/>
              <w:right w:type="dxa" w:w="100"/>
            </w:tcMar>
          </w:tcPr>
          <w:p>
            <w:r>
              <w:rPr>
                <w:rFonts w:ascii="Arial" w:cs="Arial" w:eastAsia="Arial" w:hAnsi="Arial"/>
                <w:sz w:val="18"/>
                <w:szCs w:val="18"/>
              </w:rPr>
              <w:t xml:space="preserve">200–2000 employees</w:t>
            </w:r>
          </w:p>
        </w:tc>
        <w:tc>
          <w:tcPr>
            <w:tcW w:type="dxa" w:w="2600"/>
            <w:tcBorders>
              <w:top w:val="single" w:color="CBD5E1" w:sz="1"/>
              <w:left w:val="single" w:color="CBD5E1" w:sz="1"/>
              <w:bottom w:val="single" w:color="CBD5E1" w:sz="1"/>
              <w:right w:val="single" w:color="CBD5E1" w:sz="1"/>
            </w:tcBorders>
            <w:shd w:fill="F1F5F9" w:val="clear"/>
            <w:tcMar>
              <w:top w:type="dxa" w:w="50"/>
              <w:left w:type="dxa" w:w="100"/>
              <w:bottom w:type="dxa" w:w="50"/>
              <w:right w:type="dxa" w:w="100"/>
            </w:tcMar>
          </w:tcPr>
          <w:p>
            <w:r>
              <w:rPr>
                <w:rFonts w:ascii="Arial" w:cs="Arial" w:eastAsia="Arial" w:hAnsi="Arial"/>
                <w:sz w:val="18"/>
                <w:szCs w:val="18"/>
              </w:rPr>
              <w:t xml:space="preserve">CRO, VP Revenue, RevOps</w:t>
            </w:r>
          </w:p>
        </w:tc>
        <w:tc>
          <w:tcPr>
            <w:tcW w:type="dxa" w:w="1560"/>
            <w:tcBorders>
              <w:top w:val="single" w:color="CBD5E1" w:sz="1"/>
              <w:left w:val="single" w:color="CBD5E1" w:sz="1"/>
              <w:bottom w:val="single" w:color="CBD5E1" w:sz="1"/>
              <w:right w:val="single" w:color="CBD5E1" w:sz="1"/>
            </w:tcBorders>
            <w:shd w:fill="F1F5F9" w:val="clear"/>
            <w:tcMar>
              <w:top w:type="dxa" w:w="50"/>
              <w:left w:type="dxa" w:w="100"/>
              <w:bottom w:type="dxa" w:w="50"/>
              <w:right w:type="dxa" w:w="100"/>
            </w:tcMar>
          </w:tcPr>
          <w:p>
            <w:r>
              <w:rPr>
                <w:rFonts w:ascii="Arial" w:cs="Arial" w:eastAsia="Arial" w:hAnsi="Arial"/>
                <w:sz w:val="18"/>
                <w:szCs w:val="18"/>
              </w:rPr>
              <w:t xml:space="preserve">Full funnel</w:t>
            </w:r>
          </w:p>
        </w:tc>
        <w:tc>
          <w:tcPr>
            <w:tcW w:type="dxa" w:w="1600"/>
            <w:tcBorders>
              <w:top w:val="single" w:color="CBD5E1" w:sz="1"/>
              <w:left w:val="single" w:color="CBD5E1" w:sz="1"/>
              <w:bottom w:val="single" w:color="CBD5E1" w:sz="1"/>
              <w:right w:val="single" w:color="CBD5E1" w:sz="1"/>
            </w:tcBorders>
            <w:shd w:fill="F1F5F9" w:val="clear"/>
            <w:tcMar>
              <w:top w:type="dxa" w:w="50"/>
              <w:left w:type="dxa" w:w="100"/>
              <w:bottom w:type="dxa" w:w="50"/>
              <w:right w:type="dxa" w:w="100"/>
            </w:tcMar>
          </w:tcPr>
          <w:p>
            <w:r>
              <w:rPr>
                <w:rFonts w:ascii="Arial" w:cs="Arial" w:eastAsia="Arial" w:hAnsi="Arial"/>
                <w:sz w:val="18"/>
                <w:szCs w:val="18"/>
              </w:rPr>
              <w:t xml:space="preserve">Growth/Enterprise</w:t>
            </w:r>
          </w:p>
        </w:tc>
      </w:tr>
      <w:tr>
        <w:tc>
          <w:tcPr>
            <w:tcW w:type="dxa" w:w="160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sz w:val="18"/>
                <w:szCs w:val="18"/>
              </w:rPr>
              <w:t xml:space="preserve">Agencies</w:t>
            </w:r>
          </w:p>
        </w:tc>
        <w:tc>
          <w:tcPr>
            <w:tcW w:type="dxa" w:w="200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sz w:val="18"/>
                <w:szCs w:val="18"/>
              </w:rPr>
              <w:t xml:space="preserve">10–100 people</w:t>
            </w:r>
          </w:p>
        </w:tc>
        <w:tc>
          <w:tcPr>
            <w:tcW w:type="dxa" w:w="260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sz w:val="18"/>
                <w:szCs w:val="18"/>
              </w:rPr>
              <w:t xml:space="preserve">Account Directors, Digital Leads</w:t>
            </w:r>
          </w:p>
        </w:tc>
        <w:tc>
          <w:tcPr>
            <w:tcW w:type="dxa" w:w="156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sz w:val="18"/>
                <w:szCs w:val="18"/>
              </w:rPr>
              <w:t xml:space="preserve">Client pages</w:t>
            </w:r>
          </w:p>
        </w:tc>
        <w:tc>
          <w:tcPr>
            <w:tcW w:type="dxa" w:w="160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sz w:val="18"/>
                <w:szCs w:val="18"/>
              </w:rPr>
              <w:t xml:space="preserve">Growth</w:t>
            </w:r>
          </w:p>
        </w:tc>
      </w:tr>
      <w:tr>
        <w:tc>
          <w:tcPr>
            <w:tcW w:type="dxa" w:w="1600"/>
            <w:tcBorders>
              <w:top w:val="single" w:color="CBD5E1" w:sz="1"/>
              <w:left w:val="single" w:color="CBD5E1" w:sz="1"/>
              <w:bottom w:val="single" w:color="CBD5E1" w:sz="1"/>
              <w:right w:val="single" w:color="CBD5E1" w:sz="1"/>
            </w:tcBorders>
            <w:shd w:fill="F1F5F9" w:val="clear"/>
            <w:tcMar>
              <w:top w:type="dxa" w:w="50"/>
              <w:left w:type="dxa" w:w="100"/>
              <w:bottom w:type="dxa" w:w="50"/>
              <w:right w:type="dxa" w:w="100"/>
            </w:tcMar>
          </w:tcPr>
          <w:p>
            <w:r>
              <w:rPr>
                <w:rFonts w:ascii="Arial" w:cs="Arial" w:eastAsia="Arial" w:hAnsi="Arial"/>
                <w:sz w:val="18"/>
                <w:szCs w:val="18"/>
              </w:rPr>
              <w:t xml:space="preserve">Enterprise</w:t>
            </w:r>
          </w:p>
        </w:tc>
        <w:tc>
          <w:tcPr>
            <w:tcW w:type="dxa" w:w="2000"/>
            <w:tcBorders>
              <w:top w:val="single" w:color="CBD5E1" w:sz="1"/>
              <w:left w:val="single" w:color="CBD5E1" w:sz="1"/>
              <w:bottom w:val="single" w:color="CBD5E1" w:sz="1"/>
              <w:right w:val="single" w:color="CBD5E1" w:sz="1"/>
            </w:tcBorders>
            <w:shd w:fill="F1F5F9" w:val="clear"/>
            <w:tcMar>
              <w:top w:type="dxa" w:w="50"/>
              <w:left w:type="dxa" w:w="100"/>
              <w:bottom w:type="dxa" w:w="50"/>
              <w:right w:type="dxa" w:w="100"/>
            </w:tcMar>
          </w:tcPr>
          <w:p>
            <w:r>
              <w:rPr>
                <w:rFonts w:ascii="Arial" w:cs="Arial" w:eastAsia="Arial" w:hAnsi="Arial"/>
                <w:sz w:val="18"/>
                <w:szCs w:val="18"/>
              </w:rPr>
              <w:t xml:space="preserve">2000+ employees</w:t>
            </w:r>
          </w:p>
        </w:tc>
        <w:tc>
          <w:tcPr>
            <w:tcW w:type="dxa" w:w="2600"/>
            <w:tcBorders>
              <w:top w:val="single" w:color="CBD5E1" w:sz="1"/>
              <w:left w:val="single" w:color="CBD5E1" w:sz="1"/>
              <w:bottom w:val="single" w:color="CBD5E1" w:sz="1"/>
              <w:right w:val="single" w:color="CBD5E1" w:sz="1"/>
            </w:tcBorders>
            <w:shd w:fill="F1F5F9" w:val="clear"/>
            <w:tcMar>
              <w:top w:type="dxa" w:w="50"/>
              <w:left w:type="dxa" w:w="100"/>
              <w:bottom w:type="dxa" w:w="50"/>
              <w:right w:type="dxa" w:w="100"/>
            </w:tcMar>
          </w:tcPr>
          <w:p>
            <w:r>
              <w:rPr>
                <w:rFonts w:ascii="Arial" w:cs="Arial" w:eastAsia="Arial" w:hAnsi="Arial"/>
                <w:sz w:val="18"/>
                <w:szCs w:val="18"/>
              </w:rPr>
              <w:t xml:space="preserve">CMO, VP Demand Gen, RevOps</w:t>
            </w:r>
          </w:p>
        </w:tc>
        <w:tc>
          <w:tcPr>
            <w:tcW w:type="dxa" w:w="1560"/>
            <w:tcBorders>
              <w:top w:val="single" w:color="CBD5E1" w:sz="1"/>
              <w:left w:val="single" w:color="CBD5E1" w:sz="1"/>
              <w:bottom w:val="single" w:color="CBD5E1" w:sz="1"/>
              <w:right w:val="single" w:color="CBD5E1" w:sz="1"/>
            </w:tcBorders>
            <w:shd w:fill="F1F5F9" w:val="clear"/>
            <w:tcMar>
              <w:top w:type="dxa" w:w="50"/>
              <w:left w:type="dxa" w:w="100"/>
              <w:bottom w:type="dxa" w:w="50"/>
              <w:right w:type="dxa" w:w="100"/>
            </w:tcMar>
          </w:tcPr>
          <w:p>
            <w:r>
              <w:rPr>
                <w:rFonts w:ascii="Arial" w:cs="Arial" w:eastAsia="Arial" w:hAnsi="Arial"/>
                <w:sz w:val="18"/>
                <w:szCs w:val="18"/>
              </w:rPr>
              <w:t xml:space="preserve">Brand control + scale</w:t>
            </w:r>
          </w:p>
        </w:tc>
        <w:tc>
          <w:tcPr>
            <w:tcW w:type="dxa" w:w="1600"/>
            <w:tcBorders>
              <w:top w:val="single" w:color="CBD5E1" w:sz="1"/>
              <w:left w:val="single" w:color="CBD5E1" w:sz="1"/>
              <w:bottom w:val="single" w:color="CBD5E1" w:sz="1"/>
              <w:right w:val="single" w:color="CBD5E1" w:sz="1"/>
            </w:tcBorders>
            <w:shd w:fill="F1F5F9" w:val="clear"/>
            <w:tcMar>
              <w:top w:type="dxa" w:w="50"/>
              <w:left w:type="dxa" w:w="100"/>
              <w:bottom w:type="dxa" w:w="50"/>
              <w:right w:type="dxa" w:w="100"/>
            </w:tcMar>
          </w:tcPr>
          <w:p>
            <w:r>
              <w:rPr>
                <w:rFonts w:ascii="Arial" w:cs="Arial" w:eastAsia="Arial" w:hAnsi="Arial"/>
                <w:sz w:val="18"/>
                <w:szCs w:val="18"/>
              </w:rPr>
              <w:t xml:space="preserve">Enterprise</w:t>
            </w:r>
          </w:p>
        </w:tc>
      </w:tr>
    </w:tbl>
    <w:p>
      <w:pPr>
        <w:spacing w:after="80"/>
      </w:pPr>
    </w:p>
    <w:p>
      <w:pPr>
        <w:pStyle w:val="Heading2"/>
      </w:pPr>
      <w:r>
        <w:t xml:space="preserve">5.2 Pricing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300"/>
        <w:gridCol w:w="3200"/>
        <w:gridCol w:w="1700"/>
        <w:gridCol w:w="1600"/>
      </w:tblGrid>
      <w:tr>
        <w:tc>
          <w:tcPr>
            <w:tcW w:type="dxa" w:w="1560"/>
            <w:tcBorders>
              <w:top w:val="single" w:color="CBD5E1" w:sz="1"/>
              <w:left w:val="single" w:color="CBD5E1" w:sz="1"/>
              <w:bottom w:val="single" w:color="CBD5E1" w:sz="1"/>
              <w:right w:val="single" w:color="CBD5E1" w:sz="1"/>
            </w:tcBorders>
            <w:shd w:fill="1E293B" w:val="clear"/>
            <w:tcMar>
              <w:top w:type="dxa" w:w="60"/>
              <w:left w:type="dxa" w:w="100"/>
              <w:bottom w:type="dxa" w:w="60"/>
              <w:right w:type="dxa" w:w="100"/>
            </w:tcMar>
          </w:tcPr>
          <w:p>
            <w:r>
              <w:rPr>
                <w:rFonts w:ascii="Arial" w:cs="Arial" w:eastAsia="Arial" w:hAnsi="Arial"/>
                <w:b/>
                <w:bCs/>
                <w:color w:val="FFFFFF"/>
                <w:sz w:val="19"/>
                <w:szCs w:val="19"/>
              </w:rPr>
              <w:t xml:space="preserve">Tier</w:t>
            </w:r>
          </w:p>
        </w:tc>
        <w:tc>
          <w:tcPr>
            <w:tcW w:type="dxa" w:w="1300"/>
            <w:tcBorders>
              <w:top w:val="single" w:color="CBD5E1" w:sz="1"/>
              <w:left w:val="single" w:color="CBD5E1" w:sz="1"/>
              <w:bottom w:val="single" w:color="CBD5E1" w:sz="1"/>
              <w:right w:val="single" w:color="CBD5E1" w:sz="1"/>
            </w:tcBorders>
            <w:shd w:fill="1E293B" w:val="clear"/>
            <w:tcMar>
              <w:top w:type="dxa" w:w="60"/>
              <w:left w:type="dxa" w:w="100"/>
              <w:bottom w:type="dxa" w:w="60"/>
              <w:right w:type="dxa" w:w="100"/>
            </w:tcMar>
          </w:tcPr>
          <w:p>
            <w:r>
              <w:rPr>
                <w:rFonts w:ascii="Arial" w:cs="Arial" w:eastAsia="Arial" w:hAnsi="Arial"/>
                <w:b/>
                <w:bCs/>
                <w:color w:val="FFFFFF"/>
                <w:sz w:val="19"/>
                <w:szCs w:val="19"/>
              </w:rPr>
              <w:t xml:space="preserve">Price</w:t>
            </w:r>
          </w:p>
        </w:tc>
        <w:tc>
          <w:tcPr>
            <w:tcW w:type="dxa" w:w="3200"/>
            <w:tcBorders>
              <w:top w:val="single" w:color="CBD5E1" w:sz="1"/>
              <w:left w:val="single" w:color="CBD5E1" w:sz="1"/>
              <w:bottom w:val="single" w:color="CBD5E1" w:sz="1"/>
              <w:right w:val="single" w:color="CBD5E1" w:sz="1"/>
            </w:tcBorders>
            <w:shd w:fill="1E293B" w:val="clear"/>
            <w:tcMar>
              <w:top w:type="dxa" w:w="60"/>
              <w:left w:type="dxa" w:w="100"/>
              <w:bottom w:type="dxa" w:w="60"/>
              <w:right w:type="dxa" w:w="100"/>
            </w:tcMar>
          </w:tcPr>
          <w:p>
            <w:r>
              <w:rPr>
                <w:rFonts w:ascii="Arial" w:cs="Arial" w:eastAsia="Arial" w:hAnsi="Arial"/>
                <w:b/>
                <w:bCs/>
                <w:color w:val="FFFFFF"/>
                <w:sz w:val="19"/>
                <w:szCs w:val="19"/>
              </w:rPr>
              <w:t xml:space="preserve">Includes</w:t>
            </w:r>
          </w:p>
        </w:tc>
        <w:tc>
          <w:tcPr>
            <w:tcW w:type="dxa" w:w="1700"/>
            <w:tcBorders>
              <w:top w:val="single" w:color="CBD5E1" w:sz="1"/>
              <w:left w:val="single" w:color="CBD5E1" w:sz="1"/>
              <w:bottom w:val="single" w:color="CBD5E1" w:sz="1"/>
              <w:right w:val="single" w:color="CBD5E1" w:sz="1"/>
            </w:tcBorders>
            <w:shd w:fill="1E293B" w:val="clear"/>
            <w:tcMar>
              <w:top w:type="dxa" w:w="60"/>
              <w:left w:type="dxa" w:w="100"/>
              <w:bottom w:type="dxa" w:w="60"/>
              <w:right w:type="dxa" w:w="100"/>
            </w:tcMar>
          </w:tcPr>
          <w:p>
            <w:r>
              <w:rPr>
                <w:rFonts w:ascii="Arial" w:cs="Arial" w:eastAsia="Arial" w:hAnsi="Arial"/>
                <w:b/>
                <w:bCs/>
                <w:color w:val="FFFFFF"/>
                <w:sz w:val="19"/>
                <w:szCs w:val="19"/>
              </w:rPr>
              <w:t xml:space="preserve">Traffic Limit</w:t>
            </w:r>
          </w:p>
        </w:tc>
        <w:tc>
          <w:tcPr>
            <w:tcW w:type="dxa" w:w="1600"/>
            <w:tcBorders>
              <w:top w:val="single" w:color="CBD5E1" w:sz="1"/>
              <w:left w:val="single" w:color="CBD5E1" w:sz="1"/>
              <w:bottom w:val="single" w:color="CBD5E1" w:sz="1"/>
              <w:right w:val="single" w:color="CBD5E1" w:sz="1"/>
            </w:tcBorders>
            <w:shd w:fill="1E293B" w:val="clear"/>
            <w:tcMar>
              <w:top w:type="dxa" w:w="60"/>
              <w:left w:type="dxa" w:w="100"/>
              <w:bottom w:type="dxa" w:w="60"/>
              <w:right w:type="dxa" w:w="100"/>
            </w:tcMar>
          </w:tcPr>
          <w:p>
            <w:r>
              <w:rPr>
                <w:rFonts w:ascii="Arial" w:cs="Arial" w:eastAsia="Arial" w:hAnsi="Arial"/>
                <w:b/>
                <w:bCs/>
                <w:color w:val="FFFFFF"/>
                <w:sz w:val="19"/>
                <w:szCs w:val="19"/>
              </w:rPr>
              <w:t xml:space="preserve">Target</w:t>
            </w:r>
          </w:p>
        </w:tc>
      </w:tr>
      <w:tr>
        <w:tc>
          <w:tcPr>
            <w:tcW w:type="dxa" w:w="156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b/>
                <w:bCs/>
                <w:sz w:val="18"/>
                <w:szCs w:val="18"/>
              </w:rPr>
              <w:t xml:space="preserve">Starter</w:t>
            </w:r>
          </w:p>
        </w:tc>
        <w:tc>
          <w:tcPr>
            <w:tcW w:type="dxa" w:w="130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sz w:val="18"/>
                <w:szCs w:val="18"/>
              </w:rPr>
              <w:t xml:space="preserve">$99/mo</w:t>
            </w:r>
          </w:p>
        </w:tc>
        <w:tc>
          <w:tcPr>
            <w:tcW w:type="dxa" w:w="320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sz w:val="18"/>
                <w:szCs w:val="18"/>
              </w:rPr>
              <w:t xml:space="preserve">5 pages, A/B testing, basic analytics, lead forms, email support</w:t>
            </w:r>
          </w:p>
        </w:tc>
        <w:tc>
          <w:tcPr>
            <w:tcW w:type="dxa" w:w="170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sz w:val="18"/>
                <w:szCs w:val="18"/>
              </w:rPr>
              <w:t xml:space="preserve">1,000 visitors/mo</w:t>
            </w:r>
          </w:p>
        </w:tc>
        <w:tc>
          <w:tcPr>
            <w:tcW w:type="dxa" w:w="160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sz w:val="18"/>
                <w:szCs w:val="18"/>
              </w:rPr>
              <w:t xml:space="preserve">Small teams</w:t>
            </w:r>
          </w:p>
        </w:tc>
      </w:tr>
      <w:tr>
        <w:tc>
          <w:tcPr>
            <w:tcW w:type="dxa" w:w="1560"/>
            <w:tcBorders>
              <w:top w:val="single" w:color="CBD5E1" w:sz="1"/>
              <w:left w:val="single" w:color="CBD5E1" w:sz="1"/>
              <w:bottom w:val="single" w:color="CBD5E1" w:sz="1"/>
              <w:right w:val="single" w:color="CBD5E1" w:sz="1"/>
            </w:tcBorders>
            <w:shd w:fill="F1F5F9" w:val="clear"/>
            <w:tcMar>
              <w:top w:type="dxa" w:w="50"/>
              <w:left w:type="dxa" w:w="100"/>
              <w:bottom w:type="dxa" w:w="50"/>
              <w:right w:type="dxa" w:w="100"/>
            </w:tcMar>
          </w:tcPr>
          <w:p>
            <w:r>
              <w:rPr>
                <w:rFonts w:ascii="Arial" w:cs="Arial" w:eastAsia="Arial" w:hAnsi="Arial"/>
                <w:b/>
                <w:bCs/>
                <w:sz w:val="18"/>
                <w:szCs w:val="18"/>
              </w:rPr>
              <w:t xml:space="preserve">Growth</w:t>
            </w:r>
          </w:p>
        </w:tc>
        <w:tc>
          <w:tcPr>
            <w:tcW w:type="dxa" w:w="1300"/>
            <w:tcBorders>
              <w:top w:val="single" w:color="CBD5E1" w:sz="1"/>
              <w:left w:val="single" w:color="CBD5E1" w:sz="1"/>
              <w:bottom w:val="single" w:color="CBD5E1" w:sz="1"/>
              <w:right w:val="single" w:color="CBD5E1" w:sz="1"/>
            </w:tcBorders>
            <w:shd w:fill="F1F5F9" w:val="clear"/>
            <w:tcMar>
              <w:top w:type="dxa" w:w="50"/>
              <w:left w:type="dxa" w:w="100"/>
              <w:bottom w:type="dxa" w:w="50"/>
              <w:right w:type="dxa" w:w="100"/>
            </w:tcMar>
          </w:tcPr>
          <w:p>
            <w:r>
              <w:rPr>
                <w:rFonts w:ascii="Arial" w:cs="Arial" w:eastAsia="Arial" w:hAnsi="Arial"/>
                <w:sz w:val="18"/>
                <w:szCs w:val="18"/>
              </w:rPr>
              <w:t xml:space="preserve">$199/mo</w:t>
            </w:r>
          </w:p>
        </w:tc>
        <w:tc>
          <w:tcPr>
            <w:tcW w:type="dxa" w:w="3200"/>
            <w:tcBorders>
              <w:top w:val="single" w:color="CBD5E1" w:sz="1"/>
              <w:left w:val="single" w:color="CBD5E1" w:sz="1"/>
              <w:bottom w:val="single" w:color="CBD5E1" w:sz="1"/>
              <w:right w:val="single" w:color="CBD5E1" w:sz="1"/>
            </w:tcBorders>
            <w:shd w:fill="F1F5F9" w:val="clear"/>
            <w:tcMar>
              <w:top w:type="dxa" w:w="50"/>
              <w:left w:type="dxa" w:w="100"/>
              <w:bottom w:type="dxa" w:w="50"/>
              <w:right w:type="dxa" w:w="100"/>
            </w:tcMar>
          </w:tcPr>
          <w:p>
            <w:r>
              <w:rPr>
                <w:rFonts w:ascii="Arial" w:cs="Arial" w:eastAsia="Arial" w:hAnsi="Arial"/>
                <w:sz w:val="18"/>
                <w:szCs w:val="18"/>
              </w:rPr>
              <w:t xml:space="preserve">Unlimited pages, Smart Traffic AI, heatmaps, CRM push, content library, custom blocks</w:t>
            </w:r>
          </w:p>
        </w:tc>
        <w:tc>
          <w:tcPr>
            <w:tcW w:type="dxa" w:w="1700"/>
            <w:tcBorders>
              <w:top w:val="single" w:color="CBD5E1" w:sz="1"/>
              <w:left w:val="single" w:color="CBD5E1" w:sz="1"/>
              <w:bottom w:val="single" w:color="CBD5E1" w:sz="1"/>
              <w:right w:val="single" w:color="CBD5E1" w:sz="1"/>
            </w:tcBorders>
            <w:shd w:fill="F1F5F9" w:val="clear"/>
            <w:tcMar>
              <w:top w:type="dxa" w:w="50"/>
              <w:left w:type="dxa" w:w="100"/>
              <w:bottom w:type="dxa" w:w="50"/>
              <w:right w:type="dxa" w:w="100"/>
            </w:tcMar>
          </w:tcPr>
          <w:p>
            <w:r>
              <w:rPr>
                <w:rFonts w:ascii="Arial" w:cs="Arial" w:eastAsia="Arial" w:hAnsi="Arial"/>
                <w:sz w:val="18"/>
                <w:szCs w:val="18"/>
              </w:rPr>
              <w:t xml:space="preserve">25,000 visitors/mo</w:t>
            </w:r>
          </w:p>
        </w:tc>
        <w:tc>
          <w:tcPr>
            <w:tcW w:type="dxa" w:w="1600"/>
            <w:tcBorders>
              <w:top w:val="single" w:color="CBD5E1" w:sz="1"/>
              <w:left w:val="single" w:color="CBD5E1" w:sz="1"/>
              <w:bottom w:val="single" w:color="CBD5E1" w:sz="1"/>
              <w:right w:val="single" w:color="CBD5E1" w:sz="1"/>
            </w:tcBorders>
            <w:shd w:fill="F1F5F9" w:val="clear"/>
            <w:tcMar>
              <w:top w:type="dxa" w:w="50"/>
              <w:left w:type="dxa" w:w="100"/>
              <w:bottom w:type="dxa" w:w="50"/>
              <w:right w:type="dxa" w:w="100"/>
            </w:tcMar>
          </w:tcPr>
          <w:p>
            <w:r>
              <w:rPr>
                <w:rFonts w:ascii="Arial" w:cs="Arial" w:eastAsia="Arial" w:hAnsi="Arial"/>
                <w:sz w:val="18"/>
                <w:szCs w:val="18"/>
              </w:rPr>
              <w:t xml:space="preserve">Scaling teams</w:t>
            </w:r>
          </w:p>
        </w:tc>
      </w:tr>
      <w:tr>
        <w:tc>
          <w:tcPr>
            <w:tcW w:type="dxa" w:w="156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b/>
                <w:bCs/>
                <w:sz w:val="18"/>
                <w:szCs w:val="18"/>
              </w:rPr>
              <w:t xml:space="preserve">Enterprise</w:t>
            </w:r>
          </w:p>
        </w:tc>
        <w:tc>
          <w:tcPr>
            <w:tcW w:type="dxa" w:w="130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sz w:val="18"/>
                <w:szCs w:val="18"/>
              </w:rPr>
              <w:t xml:space="preserve">Custom</w:t>
            </w:r>
          </w:p>
        </w:tc>
        <w:tc>
          <w:tcPr>
            <w:tcW w:type="dxa" w:w="320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sz w:val="18"/>
                <w:szCs w:val="18"/>
              </w:rPr>
              <w:t xml:space="preserve">Everything + review workflows, sales enablement tools, dedicated CSM, SSO, SLA</w:t>
            </w:r>
          </w:p>
        </w:tc>
        <w:tc>
          <w:tcPr>
            <w:tcW w:type="dxa" w:w="170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sz w:val="18"/>
                <w:szCs w:val="18"/>
              </w:rPr>
              <w:t xml:space="preserve">Unlimited</w:t>
            </w:r>
          </w:p>
        </w:tc>
        <w:tc>
          <w:tcPr>
            <w:tcW w:type="dxa" w:w="160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sz w:val="18"/>
                <w:szCs w:val="18"/>
              </w:rPr>
              <w:t xml:space="preserve">Large orgs</w:t>
            </w:r>
          </w:p>
        </w:tc>
      </w:tr>
    </w:tbl>
    <w:p>
      <w:pPr>
        <w:spacing w:after="80"/>
      </w:pPr>
    </w:p>
    <w:p>
      <w:pPr>
        <w:pStyle w:val="Heading2"/>
      </w:pPr>
      <w:r>
        <w:t xml:space="preserve">5.3 Launch Phases</w:t>
      </w:r>
    </w:p>
    <w:p>
      <w:pPr>
        <w:pStyle w:val="Heading3"/>
      </w:pPr>
      <w:r>
        <w:t xml:space="preserve">Phase 1: Foundation (Weeks 1–2)</w:t>
      </w:r>
    </w:p>
    <w:p>
      <w:pPr>
        <w:pStyle w:val="ListParagraph"/>
        <w:numPr>
          <w:ilvl w:val="0"/>
          <w:numId w:val="12"/>
        </w:numPr>
        <w:spacing w:after="80"/>
      </w:pPr>
      <w:r>
        <w:rPr>
          <w:sz w:val="21"/>
          <w:szCs w:val="21"/>
        </w:rPr>
        <w:t xml:space="preserve">Add multi-tenant authentication (Supabase Auth or Clerk) with organization/team roles</w:t>
      </w:r>
    </w:p>
    <w:p>
      <w:pPr>
        <w:pStyle w:val="ListParagraph"/>
        <w:numPr>
          <w:ilvl w:val="0"/>
          <w:numId w:val="12"/>
        </w:numPr>
        <w:spacing w:after="80"/>
      </w:pPr>
      <w:r>
        <w:rPr>
          <w:sz w:val="21"/>
          <w:szCs w:val="21"/>
        </w:rPr>
        <w:t xml:space="preserve">Add org_id to all LP Studio tables; implement row-level security</w:t>
      </w:r>
    </w:p>
    <w:p>
      <w:pPr>
        <w:pStyle w:val="ListParagraph"/>
        <w:numPr>
          <w:ilvl w:val="0"/>
          <w:numId w:val="12"/>
        </w:numPr>
        <w:spacing w:after="80"/>
      </w:pPr>
      <w:r>
        <w:rPr>
          <w:sz w:val="21"/>
          <w:szCs w:val="21"/>
        </w:rPr>
        <w:t xml:space="preserve">Make the lp-studio repository private (currently public)</w:t>
      </w:r>
    </w:p>
    <w:p>
      <w:pPr>
        <w:pStyle w:val="ListParagraph"/>
        <w:numPr>
          <w:ilvl w:val="0"/>
          <w:numId w:val="12"/>
        </w:numPr>
        <w:spacing w:after="80"/>
      </w:pPr>
      <w:r>
        <w:rPr>
          <w:sz w:val="21"/>
          <w:szCs w:val="21"/>
        </w:rPr>
        <w:t xml:space="preserve">Migrate microsite skins from dandy-ent as LP Studio page templates</w:t>
      </w:r>
    </w:p>
    <w:p>
      <w:pPr>
        <w:pStyle w:val="Heading3"/>
      </w:pPr>
      <w:r>
        <w:t xml:space="preserve">Phase 2: Sales Enablement Migration (Weeks 3–4)</w:t>
      </w:r>
    </w:p>
    <w:p>
      <w:pPr>
        <w:pStyle w:val="ListParagraph"/>
        <w:numPr>
          <w:ilvl w:val="0"/>
          <w:numId w:val="13"/>
        </w:numPr>
        <w:spacing w:after="80"/>
      </w:pPr>
      <w:r>
        <w:rPr>
          <w:sz w:val="21"/>
          <w:szCs w:val="21"/>
        </w:rPr>
        <w:t xml:space="preserve">Port ROI calculators as embeddable page builder blocks</w:t>
      </w:r>
    </w:p>
    <w:p>
      <w:pPr>
        <w:pStyle w:val="ListParagraph"/>
        <w:numPr>
          <w:ilvl w:val="0"/>
          <w:numId w:val="13"/>
        </w:numPr>
        <w:spacing w:after="80"/>
      </w:pPr>
      <w:r>
        <w:rPr>
          <w:sz w:val="21"/>
          <w:szCs w:val="21"/>
        </w:rPr>
        <w:t xml:space="preserve">Port one-pager PDF generator as an export feature</w:t>
      </w:r>
    </w:p>
    <w:p>
      <w:pPr>
        <w:pStyle w:val="ListParagraph"/>
        <w:numPr>
          <w:ilvl w:val="0"/>
          <w:numId w:val="13"/>
        </w:numPr>
        <w:spacing w:after="80"/>
      </w:pPr>
      <w:r>
        <w:rPr>
          <w:sz w:val="21"/>
          <w:szCs w:val="21"/>
        </w:rPr>
        <w:t xml:space="preserve">Migrate AI account briefing as “AI Content Brief”</w:t>
      </w:r>
    </w:p>
    <w:p>
      <w:pPr>
        <w:pStyle w:val="ListParagraph"/>
        <w:numPr>
          <w:ilvl w:val="0"/>
          <w:numId w:val="13"/>
        </w:numPr>
        <w:spacing w:after="80"/>
      </w:pPr>
      <w:r>
        <w:rPr>
          <w:sz w:val="21"/>
          <w:szCs w:val="21"/>
        </w:rPr>
        <w:t xml:space="preserve">Build personalized link (hotlink) system for any landing page</w:t>
      </w:r>
    </w:p>
    <w:p>
      <w:pPr>
        <w:pStyle w:val="ListParagraph"/>
        <w:numPr>
          <w:ilvl w:val="0"/>
          <w:numId w:val="13"/>
        </w:numPr>
        <w:spacing w:after="80"/>
      </w:pPr>
      <w:r>
        <w:rPr>
          <w:sz w:val="21"/>
          <w:szCs w:val="21"/>
        </w:rPr>
        <w:t xml:space="preserve">Add real-time engagement signal notifications</w:t>
      </w:r>
    </w:p>
    <w:p>
      <w:pPr>
        <w:pStyle w:val="Heading3"/>
      </w:pPr>
      <w:r>
        <w:t xml:space="preserve">Phase 3: Email + Campaigns (Week 5)</w:t>
      </w:r>
    </w:p>
    <w:p>
      <w:pPr>
        <w:pStyle w:val="ListParagraph"/>
        <w:numPr>
          <w:ilvl w:val="0"/>
          <w:numId w:val="14"/>
        </w:numPr>
        <w:spacing w:after="80"/>
      </w:pPr>
      <w:r>
        <w:rPr>
          <w:sz w:val="21"/>
          <w:szCs w:val="21"/>
        </w:rPr>
        <w:t xml:space="preserve">Port email WYSIWYG editor as LP Studio email builder module</w:t>
      </w:r>
    </w:p>
    <w:p>
      <w:pPr>
        <w:pStyle w:val="ListParagraph"/>
        <w:numPr>
          <w:ilvl w:val="0"/>
          <w:numId w:val="14"/>
        </w:numPr>
        <w:spacing w:after="80"/>
      </w:pPr>
      <w:r>
        <w:rPr>
          <w:sz w:val="21"/>
          <w:szCs w:val="21"/>
        </w:rPr>
        <w:t xml:space="preserve">Connect form submissions to email sequences</w:t>
      </w:r>
    </w:p>
    <w:p>
      <w:pPr>
        <w:pStyle w:val="ListParagraph"/>
        <w:numPr>
          <w:ilvl w:val="0"/>
          <w:numId w:val="14"/>
        </w:numPr>
        <w:spacing w:after="80"/>
      </w:pPr>
      <w:r>
        <w:rPr>
          <w:sz w:val="21"/>
          <w:szCs w:val="21"/>
        </w:rPr>
        <w:t xml:space="preserve">Migrate campaign manager with A/B testing and UTM tracking</w:t>
      </w:r>
    </w:p>
    <w:p>
      <w:pPr>
        <w:pStyle w:val="ListParagraph"/>
        <w:numPr>
          <w:ilvl w:val="0"/>
          <w:numId w:val="14"/>
        </w:numPr>
        <w:spacing w:after="80"/>
      </w:pPr>
      <w:r>
        <w:rPr>
          <w:sz w:val="21"/>
          <w:szCs w:val="21"/>
        </w:rPr>
        <w:t xml:space="preserve">Add contact import/management feature</w:t>
      </w:r>
    </w:p>
    <w:p>
      <w:pPr>
        <w:pStyle w:val="Heading3"/>
      </w:pPr>
      <w:r>
        <w:t xml:space="preserve">Phase 4: Polish + Internal Beta (Week 6)</w:t>
      </w:r>
    </w:p>
    <w:p>
      <w:pPr>
        <w:pStyle w:val="ListParagraph"/>
        <w:numPr>
          <w:ilvl w:val="0"/>
          <w:numId w:val="15"/>
        </w:numPr>
        <w:spacing w:after="80"/>
      </w:pPr>
      <w:r>
        <w:rPr>
          <w:sz w:val="21"/>
          <w:szCs w:val="21"/>
        </w:rPr>
        <w:t xml:space="preserve">Unified dashboard combining pages, tests, analytics, leads, and contacts</w:t>
      </w:r>
    </w:p>
    <w:p>
      <w:pPr>
        <w:pStyle w:val="ListParagraph"/>
        <w:numPr>
          <w:ilvl w:val="0"/>
          <w:numId w:val="15"/>
        </w:numPr>
        <w:spacing w:after="80"/>
      </w:pPr>
      <w:r>
        <w:rPr>
          <w:sz w:val="21"/>
          <w:szCs w:val="21"/>
        </w:rPr>
        <w:t xml:space="preserve">Onboarding flow for new users (brand import wizard, template gallery, first page)</w:t>
      </w:r>
    </w:p>
    <w:p>
      <w:pPr>
        <w:pStyle w:val="ListParagraph"/>
        <w:numPr>
          <w:ilvl w:val="0"/>
          <w:numId w:val="15"/>
        </w:numPr>
        <w:spacing w:after="80"/>
      </w:pPr>
      <w:r>
        <w:rPr>
          <w:sz w:val="21"/>
          <w:szCs w:val="21"/>
        </w:rPr>
        <w:t xml:space="preserve">Marketing site deployment (lpstudio-site artifact already exists)</w:t>
      </w:r>
    </w:p>
    <w:p>
      <w:pPr>
        <w:pStyle w:val="ListParagraph"/>
        <w:numPr>
          <w:ilvl w:val="0"/>
          <w:numId w:val="15"/>
        </w:numPr>
        <w:spacing w:after="80"/>
      </w:pPr>
      <w:r>
        <w:rPr>
          <w:sz w:val="21"/>
          <w:szCs w:val="21"/>
        </w:rPr>
        <w:t xml:space="preserve">Internal beta with Dandy’s own accounts</w:t>
      </w:r>
    </w:p>
    <w:p>
      <w:pPr>
        <w:pStyle w:val="Heading3"/>
      </w:pPr>
      <w:r>
        <w:t xml:space="preserve">Phase 5: Launch (Weeks 7–8)</w:t>
      </w:r>
    </w:p>
    <w:p>
      <w:pPr>
        <w:pStyle w:val="ListParagraph"/>
        <w:numPr>
          <w:ilvl w:val="0"/>
          <w:numId w:val="16"/>
        </w:numPr>
        <w:spacing w:after="80"/>
      </w:pPr>
      <w:r>
        <w:rPr>
          <w:sz w:val="21"/>
          <w:szCs w:val="21"/>
        </w:rPr>
        <w:t xml:space="preserve">Invite 10–20 target companies for closed beta</w:t>
      </w:r>
    </w:p>
    <w:p>
      <w:pPr>
        <w:pStyle w:val="ListParagraph"/>
        <w:numPr>
          <w:ilvl w:val="0"/>
          <w:numId w:val="16"/>
        </w:numPr>
        <w:spacing w:after="80"/>
      </w:pPr>
      <w:r>
        <w:rPr>
          <w:sz w:val="21"/>
          <w:szCs w:val="21"/>
        </w:rPr>
        <w:t xml:space="preserve">Implement billing/subscription (Stripe integration)</w:t>
      </w:r>
    </w:p>
    <w:p>
      <w:pPr>
        <w:pStyle w:val="ListParagraph"/>
        <w:numPr>
          <w:ilvl w:val="0"/>
          <w:numId w:val="16"/>
        </w:numPr>
        <w:spacing w:after="80"/>
      </w:pPr>
      <w:r>
        <w:rPr>
          <w:sz w:val="21"/>
          <w:szCs w:val="21"/>
        </w:rPr>
        <w:t xml:space="preserve">Public launch with pricing page, docs, and support</w:t>
      </w:r>
    </w:p>
    <w:p>
      <w:pPr>
        <w:pStyle w:val="ListParagraph"/>
        <w:numPr>
          <w:ilvl w:val="0"/>
          <w:numId w:val="16"/>
        </w:numPr>
        <w:spacing w:after="80"/>
      </w:pPr>
      <w:r>
        <w:rPr>
          <w:sz w:val="21"/>
          <w:szCs w:val="21"/>
        </w:rPr>
        <w:t xml:space="preserve">Begin outbound sales to target segments</w:t>
      </w:r>
    </w:p>
    <w:p>
      <w:r>
        <w:br w:type="page"/>
      </w:r>
    </w:p>
    <w:p>
      <w:pPr>
        <w:pStyle w:val="Heading1"/>
      </w:pPr>
      <w:r>
        <w:t xml:space="preserve">6. Feature Consolidation: What to Merge</w:t>
      </w:r>
    </w:p>
    <w:p>
      <w:pPr>
        <w:spacing w:after="120"/>
      </w:pPr>
      <w:r>
        <w:rPr>
          <w:sz w:val="22"/>
          <w:szCs w:val="22"/>
        </w:rPr>
        <w:t xml:space="preserve">Based on the code audit and competitive analysis, here is the prioritized list of dandy-ent features to merge into LP Studio, ranked by value to a horizontal SaaS product.</w:t>
      </w:r>
    </w:p>
    <w:p>
      <w:pPr>
        <w:pStyle w:val="Heading2"/>
      </w:pPr>
      <w:r>
        <w:t xml:space="preserve">Tier 1: Must-Have for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960"/>
        <w:gridCol w:w="3000"/>
      </w:tblGrid>
      <w:tr>
        <w:tc>
          <w:tcPr>
            <w:tcW w:type="dxa" w:w="2400"/>
            <w:tcBorders>
              <w:top w:val="single" w:color="CBD5E1" w:sz="1"/>
              <w:left w:val="single" w:color="CBD5E1" w:sz="1"/>
              <w:bottom w:val="single" w:color="CBD5E1" w:sz="1"/>
              <w:right w:val="single" w:color="CBD5E1" w:sz="1"/>
            </w:tcBorders>
            <w:shd w:fill="1E293B" w:val="clear"/>
            <w:tcMar>
              <w:top w:type="dxa" w:w="60"/>
              <w:left w:type="dxa" w:w="100"/>
              <w:bottom w:type="dxa" w:w="60"/>
              <w:right w:type="dxa" w:w="100"/>
            </w:tcMar>
          </w:tcPr>
          <w:p>
            <w:r>
              <w:rPr>
                <w:rFonts w:ascii="Arial" w:cs="Arial" w:eastAsia="Arial" w:hAnsi="Arial"/>
                <w:b/>
                <w:bCs/>
                <w:color w:val="FFFFFF"/>
                <w:sz w:val="19"/>
                <w:szCs w:val="19"/>
              </w:rPr>
              <w:t xml:space="preserve">Feature</w:t>
            </w:r>
          </w:p>
        </w:tc>
        <w:tc>
          <w:tcPr>
            <w:tcW w:type="dxa" w:w="3960"/>
            <w:tcBorders>
              <w:top w:val="single" w:color="CBD5E1" w:sz="1"/>
              <w:left w:val="single" w:color="CBD5E1" w:sz="1"/>
              <w:bottom w:val="single" w:color="CBD5E1" w:sz="1"/>
              <w:right w:val="single" w:color="CBD5E1" w:sz="1"/>
            </w:tcBorders>
            <w:shd w:fill="1E293B" w:val="clear"/>
            <w:tcMar>
              <w:top w:type="dxa" w:w="60"/>
              <w:left w:type="dxa" w:w="100"/>
              <w:bottom w:type="dxa" w:w="60"/>
              <w:right w:type="dxa" w:w="100"/>
            </w:tcMar>
          </w:tcPr>
          <w:p>
            <w:r>
              <w:rPr>
                <w:rFonts w:ascii="Arial" w:cs="Arial" w:eastAsia="Arial" w:hAnsi="Arial"/>
                <w:b/>
                <w:bCs/>
                <w:color w:val="FFFFFF"/>
                <w:sz w:val="19"/>
                <w:szCs w:val="19"/>
              </w:rPr>
              <w:t xml:space="preserve">Why It Matters</w:t>
            </w:r>
          </w:p>
        </w:tc>
        <w:tc>
          <w:tcPr>
            <w:tcW w:type="dxa" w:w="3000"/>
            <w:tcBorders>
              <w:top w:val="single" w:color="CBD5E1" w:sz="1"/>
              <w:left w:val="single" w:color="CBD5E1" w:sz="1"/>
              <w:bottom w:val="single" w:color="CBD5E1" w:sz="1"/>
              <w:right w:val="single" w:color="CBD5E1" w:sz="1"/>
            </w:tcBorders>
            <w:shd w:fill="1E293B" w:val="clear"/>
            <w:tcMar>
              <w:top w:type="dxa" w:w="60"/>
              <w:left w:type="dxa" w:w="100"/>
              <w:bottom w:type="dxa" w:w="60"/>
              <w:right w:type="dxa" w:w="100"/>
            </w:tcMar>
          </w:tcPr>
          <w:p>
            <w:r>
              <w:rPr>
                <w:rFonts w:ascii="Arial" w:cs="Arial" w:eastAsia="Arial" w:hAnsi="Arial"/>
                <w:b/>
                <w:bCs/>
                <w:color w:val="FFFFFF"/>
                <w:sz w:val="19"/>
                <w:szCs w:val="19"/>
              </w:rPr>
              <w:t xml:space="preserve">Competitive Edge</w:t>
            </w:r>
          </w:p>
        </w:tc>
      </w:tr>
      <w:tr>
        <w:tc>
          <w:tcPr>
            <w:tcW w:type="dxa" w:w="240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b/>
                <w:bCs/>
                <w:sz w:val="18"/>
                <w:szCs w:val="18"/>
              </w:rPr>
              <w:t xml:space="preserve">Auth + Multi-Tenancy</w:t>
            </w:r>
          </w:p>
        </w:tc>
        <w:tc>
          <w:tcPr>
            <w:tcW w:type="dxa" w:w="396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sz w:val="18"/>
                <w:szCs w:val="18"/>
              </w:rPr>
              <w:t xml:space="preserve">Blocker for SaaS. Neither app has proper auth today.</w:t>
            </w:r>
          </w:p>
        </w:tc>
        <w:tc>
          <w:tcPr>
            <w:tcW w:type="dxa" w:w="300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sz w:val="18"/>
                <w:szCs w:val="18"/>
              </w:rPr>
              <w:t xml:space="preserve">Table stakes</w:t>
            </w:r>
          </w:p>
        </w:tc>
      </w:tr>
      <w:tr>
        <w:tc>
          <w:tcPr>
            <w:tcW w:type="dxa" w:w="2400"/>
            <w:tcBorders>
              <w:top w:val="single" w:color="CBD5E1" w:sz="1"/>
              <w:left w:val="single" w:color="CBD5E1" w:sz="1"/>
              <w:bottom w:val="single" w:color="CBD5E1" w:sz="1"/>
              <w:right w:val="single" w:color="CBD5E1" w:sz="1"/>
            </w:tcBorders>
            <w:shd w:fill="F1F5F9" w:val="clear"/>
            <w:tcMar>
              <w:top w:type="dxa" w:w="50"/>
              <w:left w:type="dxa" w:w="100"/>
              <w:bottom w:type="dxa" w:w="50"/>
              <w:right w:type="dxa" w:w="100"/>
            </w:tcMar>
          </w:tcPr>
          <w:p>
            <w:r>
              <w:rPr>
                <w:rFonts w:ascii="Arial" w:cs="Arial" w:eastAsia="Arial" w:hAnsi="Arial"/>
                <w:b/>
                <w:bCs/>
                <w:sz w:val="18"/>
                <w:szCs w:val="18"/>
              </w:rPr>
              <w:t xml:space="preserve">Microsite Templates</w:t>
            </w:r>
          </w:p>
        </w:tc>
        <w:tc>
          <w:tcPr>
            <w:tcW w:type="dxa" w:w="3960"/>
            <w:tcBorders>
              <w:top w:val="single" w:color="CBD5E1" w:sz="1"/>
              <w:left w:val="single" w:color="CBD5E1" w:sz="1"/>
              <w:bottom w:val="single" w:color="CBD5E1" w:sz="1"/>
              <w:right w:val="single" w:color="CBD5E1" w:sz="1"/>
            </w:tcBorders>
            <w:shd w:fill="F1F5F9" w:val="clear"/>
            <w:tcMar>
              <w:top w:type="dxa" w:w="50"/>
              <w:left w:type="dxa" w:w="100"/>
              <w:bottom w:type="dxa" w:w="50"/>
              <w:right w:type="dxa" w:w="100"/>
            </w:tcMar>
          </w:tcPr>
          <w:p>
            <w:r>
              <w:rPr>
                <w:rFonts w:ascii="Arial" w:cs="Arial" w:eastAsia="Arial" w:hAnsi="Arial"/>
                <w:sz w:val="18"/>
                <w:szCs w:val="18"/>
              </w:rPr>
              <w:t xml:space="preserve">5 production-quality templates ready to port. Instant value.</w:t>
            </w:r>
          </w:p>
        </w:tc>
        <w:tc>
          <w:tcPr>
            <w:tcW w:type="dxa" w:w="3000"/>
            <w:tcBorders>
              <w:top w:val="single" w:color="CBD5E1" w:sz="1"/>
              <w:left w:val="single" w:color="CBD5E1" w:sz="1"/>
              <w:bottom w:val="single" w:color="CBD5E1" w:sz="1"/>
              <w:right w:val="single" w:color="CBD5E1" w:sz="1"/>
            </w:tcBorders>
            <w:shd w:fill="F1F5F9" w:val="clear"/>
            <w:tcMar>
              <w:top w:type="dxa" w:w="50"/>
              <w:left w:type="dxa" w:w="100"/>
              <w:bottom w:type="dxa" w:w="50"/>
              <w:right w:type="dxa" w:w="100"/>
            </w:tcMar>
          </w:tcPr>
          <w:p>
            <w:r>
              <w:rPr>
                <w:rFonts w:ascii="Arial" w:cs="Arial" w:eastAsia="Arial" w:hAnsi="Arial"/>
                <w:sz w:val="18"/>
                <w:szCs w:val="18"/>
              </w:rPr>
              <w:t xml:space="preserve">Pre-built templates &gt; blank canvas</w:t>
            </w:r>
          </w:p>
        </w:tc>
      </w:tr>
      <w:tr>
        <w:tc>
          <w:tcPr>
            <w:tcW w:type="dxa" w:w="240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b/>
                <w:bCs/>
                <w:sz w:val="18"/>
                <w:szCs w:val="18"/>
              </w:rPr>
              <w:t xml:space="preserve">Personalized Links</w:t>
            </w:r>
          </w:p>
        </w:tc>
        <w:tc>
          <w:tcPr>
            <w:tcW w:type="dxa" w:w="396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sz w:val="18"/>
                <w:szCs w:val="18"/>
              </w:rPr>
              <w:t xml:space="preserve">Hotlink system attributes views/clicks to individual prospects.</w:t>
            </w:r>
          </w:p>
        </w:tc>
        <w:tc>
          <w:tcPr>
            <w:tcW w:type="dxa" w:w="300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sz w:val="18"/>
                <w:szCs w:val="18"/>
              </w:rPr>
              <w:t xml:space="preserve">Only Mutiny has this. $1K+/mo.</w:t>
            </w:r>
          </w:p>
        </w:tc>
      </w:tr>
      <w:tr>
        <w:tc>
          <w:tcPr>
            <w:tcW w:type="dxa" w:w="2400"/>
            <w:tcBorders>
              <w:top w:val="single" w:color="CBD5E1" w:sz="1"/>
              <w:left w:val="single" w:color="CBD5E1" w:sz="1"/>
              <w:bottom w:val="single" w:color="CBD5E1" w:sz="1"/>
              <w:right w:val="single" w:color="CBD5E1" w:sz="1"/>
            </w:tcBorders>
            <w:shd w:fill="F1F5F9" w:val="clear"/>
            <w:tcMar>
              <w:top w:type="dxa" w:w="50"/>
              <w:left w:type="dxa" w:w="100"/>
              <w:bottom w:type="dxa" w:w="50"/>
              <w:right w:type="dxa" w:w="100"/>
            </w:tcMar>
          </w:tcPr>
          <w:p>
            <w:r>
              <w:rPr>
                <w:rFonts w:ascii="Arial" w:cs="Arial" w:eastAsia="Arial" w:hAnsi="Arial"/>
                <w:b/>
                <w:bCs/>
                <w:sz w:val="18"/>
                <w:szCs w:val="18"/>
              </w:rPr>
              <w:t xml:space="preserve">Real-Time Alerts</w:t>
            </w:r>
          </w:p>
        </w:tc>
        <w:tc>
          <w:tcPr>
            <w:tcW w:type="dxa" w:w="3960"/>
            <w:tcBorders>
              <w:top w:val="single" w:color="CBD5E1" w:sz="1"/>
              <w:left w:val="single" w:color="CBD5E1" w:sz="1"/>
              <w:bottom w:val="single" w:color="CBD5E1" w:sz="1"/>
              <w:right w:val="single" w:color="CBD5E1" w:sz="1"/>
            </w:tcBorders>
            <w:shd w:fill="F1F5F9" w:val="clear"/>
            <w:tcMar>
              <w:top w:type="dxa" w:w="50"/>
              <w:left w:type="dxa" w:w="100"/>
              <w:bottom w:type="dxa" w:w="50"/>
              <w:right w:type="dxa" w:w="100"/>
            </w:tcMar>
          </w:tcPr>
          <w:p>
            <w:r>
              <w:rPr>
                <w:rFonts w:ascii="Arial" w:cs="Arial" w:eastAsia="Arial" w:hAnsi="Arial"/>
                <w:sz w:val="18"/>
                <w:szCs w:val="18"/>
              </w:rPr>
              <w:t xml:space="preserve">Sales reps notified when prospects engage. Closes feedback loop.</w:t>
            </w:r>
          </w:p>
        </w:tc>
        <w:tc>
          <w:tcPr>
            <w:tcW w:type="dxa" w:w="3000"/>
            <w:tcBorders>
              <w:top w:val="single" w:color="CBD5E1" w:sz="1"/>
              <w:left w:val="single" w:color="CBD5E1" w:sz="1"/>
              <w:bottom w:val="single" w:color="CBD5E1" w:sz="1"/>
              <w:right w:val="single" w:color="CBD5E1" w:sz="1"/>
            </w:tcBorders>
            <w:shd w:fill="F1F5F9" w:val="clear"/>
            <w:tcMar>
              <w:top w:type="dxa" w:w="50"/>
              <w:left w:type="dxa" w:w="100"/>
              <w:bottom w:type="dxa" w:w="50"/>
              <w:right w:type="dxa" w:w="100"/>
            </w:tcMar>
          </w:tcPr>
          <w:p>
            <w:r>
              <w:rPr>
                <w:rFonts w:ascii="Arial" w:cs="Arial" w:eastAsia="Arial" w:hAnsi="Arial"/>
                <w:sz w:val="18"/>
                <w:szCs w:val="18"/>
              </w:rPr>
              <w:t xml:space="preserve">No landing page builder has this</w:t>
            </w:r>
          </w:p>
        </w:tc>
      </w:tr>
    </w:tbl>
    <w:p>
      <w:pPr>
        <w:spacing w:after="80"/>
      </w:pPr>
    </w:p>
    <w:p>
      <w:pPr>
        <w:pStyle w:val="Heading2"/>
      </w:pPr>
      <w:r>
        <w:t xml:space="preserve">Tier 2: High-Value Differentiators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960"/>
        <w:gridCol w:w="3000"/>
      </w:tblGrid>
      <w:tr>
        <w:tc>
          <w:tcPr>
            <w:tcW w:type="dxa" w:w="2400"/>
            <w:tcBorders>
              <w:top w:val="single" w:color="CBD5E1" w:sz="1"/>
              <w:left w:val="single" w:color="CBD5E1" w:sz="1"/>
              <w:bottom w:val="single" w:color="CBD5E1" w:sz="1"/>
              <w:right w:val="single" w:color="CBD5E1" w:sz="1"/>
            </w:tcBorders>
            <w:shd w:fill="1E293B" w:val="clear"/>
            <w:tcMar>
              <w:top w:type="dxa" w:w="60"/>
              <w:left w:type="dxa" w:w="100"/>
              <w:bottom w:type="dxa" w:w="60"/>
              <w:right w:type="dxa" w:w="100"/>
            </w:tcMar>
          </w:tcPr>
          <w:p>
            <w:r>
              <w:rPr>
                <w:rFonts w:ascii="Arial" w:cs="Arial" w:eastAsia="Arial" w:hAnsi="Arial"/>
                <w:b/>
                <w:bCs/>
                <w:color w:val="FFFFFF"/>
                <w:sz w:val="19"/>
                <w:szCs w:val="19"/>
              </w:rPr>
              <w:t xml:space="preserve">Feature</w:t>
            </w:r>
          </w:p>
        </w:tc>
        <w:tc>
          <w:tcPr>
            <w:tcW w:type="dxa" w:w="3960"/>
            <w:tcBorders>
              <w:top w:val="single" w:color="CBD5E1" w:sz="1"/>
              <w:left w:val="single" w:color="CBD5E1" w:sz="1"/>
              <w:bottom w:val="single" w:color="CBD5E1" w:sz="1"/>
              <w:right w:val="single" w:color="CBD5E1" w:sz="1"/>
            </w:tcBorders>
            <w:shd w:fill="1E293B" w:val="clear"/>
            <w:tcMar>
              <w:top w:type="dxa" w:w="60"/>
              <w:left w:type="dxa" w:w="100"/>
              <w:bottom w:type="dxa" w:w="60"/>
              <w:right w:type="dxa" w:w="100"/>
            </w:tcMar>
          </w:tcPr>
          <w:p>
            <w:r>
              <w:rPr>
                <w:rFonts w:ascii="Arial" w:cs="Arial" w:eastAsia="Arial" w:hAnsi="Arial"/>
                <w:b/>
                <w:bCs/>
                <w:color w:val="FFFFFF"/>
                <w:sz w:val="19"/>
                <w:szCs w:val="19"/>
              </w:rPr>
              <w:t xml:space="preserve">Why It Matters</w:t>
            </w:r>
          </w:p>
        </w:tc>
        <w:tc>
          <w:tcPr>
            <w:tcW w:type="dxa" w:w="3000"/>
            <w:tcBorders>
              <w:top w:val="single" w:color="CBD5E1" w:sz="1"/>
              <w:left w:val="single" w:color="CBD5E1" w:sz="1"/>
              <w:bottom w:val="single" w:color="CBD5E1" w:sz="1"/>
              <w:right w:val="single" w:color="CBD5E1" w:sz="1"/>
            </w:tcBorders>
            <w:shd w:fill="1E293B" w:val="clear"/>
            <w:tcMar>
              <w:top w:type="dxa" w:w="60"/>
              <w:left w:type="dxa" w:w="100"/>
              <w:bottom w:type="dxa" w:w="60"/>
              <w:right w:type="dxa" w:w="100"/>
            </w:tcMar>
          </w:tcPr>
          <w:p>
            <w:r>
              <w:rPr>
                <w:rFonts w:ascii="Arial" w:cs="Arial" w:eastAsia="Arial" w:hAnsi="Arial"/>
                <w:b/>
                <w:bCs/>
                <w:color w:val="FFFFFF"/>
                <w:sz w:val="19"/>
                <w:szCs w:val="19"/>
              </w:rPr>
              <w:t xml:space="preserve">Competitive Edge</w:t>
            </w:r>
          </w:p>
        </w:tc>
      </w:tr>
      <w:tr>
        <w:tc>
          <w:tcPr>
            <w:tcW w:type="dxa" w:w="240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b/>
                <w:bCs/>
                <w:sz w:val="18"/>
                <w:szCs w:val="18"/>
              </w:rPr>
              <w:t xml:space="preserve">Email Builder</w:t>
            </w:r>
          </w:p>
        </w:tc>
        <w:tc>
          <w:tcPr>
            <w:tcW w:type="dxa" w:w="396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sz w:val="18"/>
                <w:szCs w:val="18"/>
              </w:rPr>
              <w:t xml:space="preserve">Close the loop: page → form → email sequence. Full funnel.</w:t>
            </w:r>
          </w:p>
        </w:tc>
        <w:tc>
          <w:tcPr>
            <w:tcW w:type="dxa" w:w="300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sz w:val="18"/>
                <w:szCs w:val="18"/>
              </w:rPr>
              <w:t xml:space="preserve">Only HubSpot offers this in-platform</w:t>
            </w:r>
          </w:p>
        </w:tc>
      </w:tr>
      <w:tr>
        <w:tc>
          <w:tcPr>
            <w:tcW w:type="dxa" w:w="2400"/>
            <w:tcBorders>
              <w:top w:val="single" w:color="CBD5E1" w:sz="1"/>
              <w:left w:val="single" w:color="CBD5E1" w:sz="1"/>
              <w:bottom w:val="single" w:color="CBD5E1" w:sz="1"/>
              <w:right w:val="single" w:color="CBD5E1" w:sz="1"/>
            </w:tcBorders>
            <w:shd w:fill="F1F5F9" w:val="clear"/>
            <w:tcMar>
              <w:top w:type="dxa" w:w="50"/>
              <w:left w:type="dxa" w:w="100"/>
              <w:bottom w:type="dxa" w:w="50"/>
              <w:right w:type="dxa" w:w="100"/>
            </w:tcMar>
          </w:tcPr>
          <w:p>
            <w:r>
              <w:rPr>
                <w:rFonts w:ascii="Arial" w:cs="Arial" w:eastAsia="Arial" w:hAnsi="Arial"/>
                <w:b/>
                <w:bCs/>
                <w:sz w:val="18"/>
                <w:szCs w:val="18"/>
              </w:rPr>
              <w:t xml:space="preserve">AI Account Briefing</w:t>
            </w:r>
          </w:p>
        </w:tc>
        <w:tc>
          <w:tcPr>
            <w:tcW w:type="dxa" w:w="3960"/>
            <w:tcBorders>
              <w:top w:val="single" w:color="CBD5E1" w:sz="1"/>
              <w:left w:val="single" w:color="CBD5E1" w:sz="1"/>
              <w:bottom w:val="single" w:color="CBD5E1" w:sz="1"/>
              <w:right w:val="single" w:color="CBD5E1" w:sz="1"/>
            </w:tcBorders>
            <w:shd w:fill="F1F5F9" w:val="clear"/>
            <w:tcMar>
              <w:top w:type="dxa" w:w="50"/>
              <w:left w:type="dxa" w:w="100"/>
              <w:bottom w:type="dxa" w:w="50"/>
              <w:right w:type="dxa" w:w="100"/>
            </w:tcMar>
          </w:tcPr>
          <w:p>
            <w:r>
              <w:rPr>
                <w:rFonts w:ascii="Arial" w:cs="Arial" w:eastAsia="Arial" w:hAnsi="Arial"/>
                <w:sz w:val="18"/>
                <w:szCs w:val="18"/>
              </w:rPr>
              <w:t xml:space="preserve">Generalize to any industry. Feed account data, get content strategy.</w:t>
            </w:r>
          </w:p>
        </w:tc>
        <w:tc>
          <w:tcPr>
            <w:tcW w:type="dxa" w:w="3000"/>
            <w:tcBorders>
              <w:top w:val="single" w:color="CBD5E1" w:sz="1"/>
              <w:left w:val="single" w:color="CBD5E1" w:sz="1"/>
              <w:bottom w:val="single" w:color="CBD5E1" w:sz="1"/>
              <w:right w:val="single" w:color="CBD5E1" w:sz="1"/>
            </w:tcBorders>
            <w:shd w:fill="F1F5F9" w:val="clear"/>
            <w:tcMar>
              <w:top w:type="dxa" w:w="50"/>
              <w:left w:type="dxa" w:w="100"/>
              <w:bottom w:type="dxa" w:w="50"/>
              <w:right w:type="dxa" w:w="100"/>
            </w:tcMar>
          </w:tcPr>
          <w:p>
            <w:r>
              <w:rPr>
                <w:rFonts w:ascii="Arial" w:cs="Arial" w:eastAsia="Arial" w:hAnsi="Arial"/>
                <w:sz w:val="18"/>
                <w:szCs w:val="18"/>
              </w:rPr>
              <w:t xml:space="preserve">Unique — nobody else has this</w:t>
            </w:r>
          </w:p>
        </w:tc>
      </w:tr>
      <w:tr>
        <w:tc>
          <w:tcPr>
            <w:tcW w:type="dxa" w:w="240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b/>
                <w:bCs/>
                <w:sz w:val="18"/>
                <w:szCs w:val="18"/>
              </w:rPr>
              <w:t xml:space="preserve">ROI Calculator Blocks</w:t>
            </w:r>
          </w:p>
        </w:tc>
        <w:tc>
          <w:tcPr>
            <w:tcW w:type="dxa" w:w="396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sz w:val="18"/>
                <w:szCs w:val="18"/>
              </w:rPr>
              <w:t xml:space="preserve">Embeddable interactive calculators in any landing page.</w:t>
            </w:r>
          </w:p>
        </w:tc>
        <w:tc>
          <w:tcPr>
            <w:tcW w:type="dxa" w:w="300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sz w:val="18"/>
                <w:szCs w:val="18"/>
              </w:rPr>
              <w:t xml:space="preserve">No builder has native calc blocks</w:t>
            </w:r>
          </w:p>
        </w:tc>
      </w:tr>
      <w:tr>
        <w:tc>
          <w:tcPr>
            <w:tcW w:type="dxa" w:w="2400"/>
            <w:tcBorders>
              <w:top w:val="single" w:color="CBD5E1" w:sz="1"/>
              <w:left w:val="single" w:color="CBD5E1" w:sz="1"/>
              <w:bottom w:val="single" w:color="CBD5E1" w:sz="1"/>
              <w:right w:val="single" w:color="CBD5E1" w:sz="1"/>
            </w:tcBorders>
            <w:shd w:fill="F1F5F9" w:val="clear"/>
            <w:tcMar>
              <w:top w:type="dxa" w:w="50"/>
              <w:left w:type="dxa" w:w="100"/>
              <w:bottom w:type="dxa" w:w="50"/>
              <w:right w:type="dxa" w:w="100"/>
            </w:tcMar>
          </w:tcPr>
          <w:p>
            <w:r>
              <w:rPr>
                <w:rFonts w:ascii="Arial" w:cs="Arial" w:eastAsia="Arial" w:hAnsi="Arial"/>
                <w:b/>
                <w:bCs/>
                <w:sz w:val="18"/>
                <w:szCs w:val="18"/>
              </w:rPr>
              <w:t xml:space="preserve">PDF Export / One-Pagers</w:t>
            </w:r>
          </w:p>
        </w:tc>
        <w:tc>
          <w:tcPr>
            <w:tcW w:type="dxa" w:w="3960"/>
            <w:tcBorders>
              <w:top w:val="single" w:color="CBD5E1" w:sz="1"/>
              <w:left w:val="single" w:color="CBD5E1" w:sz="1"/>
              <w:bottom w:val="single" w:color="CBD5E1" w:sz="1"/>
              <w:right w:val="single" w:color="CBD5E1" w:sz="1"/>
            </w:tcBorders>
            <w:shd w:fill="F1F5F9" w:val="clear"/>
            <w:tcMar>
              <w:top w:type="dxa" w:w="50"/>
              <w:left w:type="dxa" w:w="100"/>
              <w:bottom w:type="dxa" w:w="50"/>
              <w:right w:type="dxa" w:w="100"/>
            </w:tcMar>
          </w:tcPr>
          <w:p>
            <w:r>
              <w:rPr>
                <w:rFonts w:ascii="Arial" w:cs="Arial" w:eastAsia="Arial" w:hAnsi="Arial"/>
                <w:sz w:val="18"/>
                <w:szCs w:val="18"/>
              </w:rPr>
              <w:t xml:space="preserve">Export any page as PDF for offline sharing. Sales collateral gen.</w:t>
            </w:r>
          </w:p>
        </w:tc>
        <w:tc>
          <w:tcPr>
            <w:tcW w:type="dxa" w:w="3000"/>
            <w:tcBorders>
              <w:top w:val="single" w:color="CBD5E1" w:sz="1"/>
              <w:left w:val="single" w:color="CBD5E1" w:sz="1"/>
              <w:bottom w:val="single" w:color="CBD5E1" w:sz="1"/>
              <w:right w:val="single" w:color="CBD5E1" w:sz="1"/>
            </w:tcBorders>
            <w:shd w:fill="F1F5F9" w:val="clear"/>
            <w:tcMar>
              <w:top w:type="dxa" w:w="50"/>
              <w:left w:type="dxa" w:w="100"/>
              <w:bottom w:type="dxa" w:w="50"/>
              <w:right w:type="dxa" w:w="100"/>
            </w:tcMar>
          </w:tcPr>
          <w:p>
            <w:r>
              <w:rPr>
                <w:rFonts w:ascii="Arial" w:cs="Arial" w:eastAsia="Arial" w:hAnsi="Arial"/>
                <w:sz w:val="18"/>
                <w:szCs w:val="18"/>
              </w:rPr>
              <w:t xml:space="preserve">Unique for landing page builders</w:t>
            </w:r>
          </w:p>
        </w:tc>
      </w:tr>
    </w:tbl>
    <w:p>
      <w:pPr>
        <w:spacing w:after="80"/>
      </w:pPr>
    </w:p>
    <w:p>
      <w:pPr>
        <w:pStyle w:val="Heading2"/>
      </w:pPr>
      <w:r>
        <w:t xml:space="preserve">Tier 3: V2 Enhancements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960"/>
        <w:gridCol w:w="3000"/>
      </w:tblGrid>
      <w:tr>
        <w:tc>
          <w:tcPr>
            <w:tcW w:type="dxa" w:w="2400"/>
            <w:tcBorders>
              <w:top w:val="single" w:color="CBD5E1" w:sz="1"/>
              <w:left w:val="single" w:color="CBD5E1" w:sz="1"/>
              <w:bottom w:val="single" w:color="CBD5E1" w:sz="1"/>
              <w:right w:val="single" w:color="CBD5E1" w:sz="1"/>
            </w:tcBorders>
            <w:shd w:fill="1E293B" w:val="clear"/>
            <w:tcMar>
              <w:top w:type="dxa" w:w="60"/>
              <w:left w:type="dxa" w:w="100"/>
              <w:bottom w:type="dxa" w:w="60"/>
              <w:right w:type="dxa" w:w="100"/>
            </w:tcMar>
          </w:tcPr>
          <w:p>
            <w:r>
              <w:rPr>
                <w:rFonts w:ascii="Arial" w:cs="Arial" w:eastAsia="Arial" w:hAnsi="Arial"/>
                <w:b/>
                <w:bCs/>
                <w:color w:val="FFFFFF"/>
                <w:sz w:val="19"/>
                <w:szCs w:val="19"/>
              </w:rPr>
              <w:t xml:space="preserve">Feature</w:t>
            </w:r>
          </w:p>
        </w:tc>
        <w:tc>
          <w:tcPr>
            <w:tcW w:type="dxa" w:w="3960"/>
            <w:tcBorders>
              <w:top w:val="single" w:color="CBD5E1" w:sz="1"/>
              <w:left w:val="single" w:color="CBD5E1" w:sz="1"/>
              <w:bottom w:val="single" w:color="CBD5E1" w:sz="1"/>
              <w:right w:val="single" w:color="CBD5E1" w:sz="1"/>
            </w:tcBorders>
            <w:shd w:fill="1E293B" w:val="clear"/>
            <w:tcMar>
              <w:top w:type="dxa" w:w="60"/>
              <w:left w:type="dxa" w:w="100"/>
              <w:bottom w:type="dxa" w:w="60"/>
              <w:right w:type="dxa" w:w="100"/>
            </w:tcMar>
          </w:tcPr>
          <w:p>
            <w:r>
              <w:rPr>
                <w:rFonts w:ascii="Arial" w:cs="Arial" w:eastAsia="Arial" w:hAnsi="Arial"/>
                <w:b/>
                <w:bCs/>
                <w:color w:val="FFFFFF"/>
                <w:sz w:val="19"/>
                <w:szCs w:val="19"/>
              </w:rPr>
              <w:t xml:space="preserve">Why It Matters</w:t>
            </w:r>
          </w:p>
        </w:tc>
        <w:tc>
          <w:tcPr>
            <w:tcW w:type="dxa" w:w="3000"/>
            <w:tcBorders>
              <w:top w:val="single" w:color="CBD5E1" w:sz="1"/>
              <w:left w:val="single" w:color="CBD5E1" w:sz="1"/>
              <w:bottom w:val="single" w:color="CBD5E1" w:sz="1"/>
              <w:right w:val="single" w:color="CBD5E1" w:sz="1"/>
            </w:tcBorders>
            <w:shd w:fill="1E293B" w:val="clear"/>
            <w:tcMar>
              <w:top w:type="dxa" w:w="60"/>
              <w:left w:type="dxa" w:w="100"/>
              <w:bottom w:type="dxa" w:w="60"/>
              <w:right w:type="dxa" w:w="100"/>
            </w:tcMar>
          </w:tcPr>
          <w:p>
            <w:r>
              <w:rPr>
                <w:rFonts w:ascii="Arial" w:cs="Arial" w:eastAsia="Arial" w:hAnsi="Arial"/>
                <w:b/>
                <w:bCs/>
                <w:color w:val="FFFFFF"/>
                <w:sz w:val="19"/>
                <w:szCs w:val="19"/>
              </w:rPr>
              <w:t xml:space="preserve">Competitive Edge</w:t>
            </w:r>
          </w:p>
        </w:tc>
      </w:tr>
      <w:tr>
        <w:tc>
          <w:tcPr>
            <w:tcW w:type="dxa" w:w="240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b/>
                <w:bCs/>
                <w:sz w:val="18"/>
                <w:szCs w:val="18"/>
              </w:rPr>
              <w:t xml:space="preserve">Campaign Manager</w:t>
            </w:r>
          </w:p>
        </w:tc>
        <w:tc>
          <w:tcPr>
            <w:tcW w:type="dxa" w:w="396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sz w:val="18"/>
                <w:szCs w:val="18"/>
              </w:rPr>
              <w:t xml:space="preserve">Full email campaign management with list segmentation and A/B.</w:t>
            </w:r>
          </w:p>
        </w:tc>
        <w:tc>
          <w:tcPr>
            <w:tcW w:type="dxa" w:w="300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sz w:val="18"/>
                <w:szCs w:val="18"/>
              </w:rPr>
              <w:t xml:space="preserve">Competes with HubSpot at 1/5 the price</w:t>
            </w:r>
          </w:p>
        </w:tc>
      </w:tr>
      <w:tr>
        <w:tc>
          <w:tcPr>
            <w:tcW w:type="dxa" w:w="2400"/>
            <w:tcBorders>
              <w:top w:val="single" w:color="CBD5E1" w:sz="1"/>
              <w:left w:val="single" w:color="CBD5E1" w:sz="1"/>
              <w:bottom w:val="single" w:color="CBD5E1" w:sz="1"/>
              <w:right w:val="single" w:color="CBD5E1" w:sz="1"/>
            </w:tcBorders>
            <w:shd w:fill="F1F5F9" w:val="clear"/>
            <w:tcMar>
              <w:top w:type="dxa" w:w="50"/>
              <w:left w:type="dxa" w:w="100"/>
              <w:bottom w:type="dxa" w:w="50"/>
              <w:right w:type="dxa" w:w="100"/>
            </w:tcMar>
          </w:tcPr>
          <w:p>
            <w:r>
              <w:rPr>
                <w:rFonts w:ascii="Arial" w:cs="Arial" w:eastAsia="Arial" w:hAnsi="Arial"/>
                <w:b/>
                <w:bCs/>
                <w:sz w:val="18"/>
                <w:szCs w:val="18"/>
              </w:rPr>
              <w:t xml:space="preserve">Contact CRM</w:t>
            </w:r>
          </w:p>
        </w:tc>
        <w:tc>
          <w:tcPr>
            <w:tcW w:type="dxa" w:w="3960"/>
            <w:tcBorders>
              <w:top w:val="single" w:color="CBD5E1" w:sz="1"/>
              <w:left w:val="single" w:color="CBD5E1" w:sz="1"/>
              <w:bottom w:val="single" w:color="CBD5E1" w:sz="1"/>
              <w:right w:val="single" w:color="CBD5E1" w:sz="1"/>
            </w:tcBorders>
            <w:shd w:fill="F1F5F9" w:val="clear"/>
            <w:tcMar>
              <w:top w:type="dxa" w:w="50"/>
              <w:left w:type="dxa" w:w="100"/>
              <w:bottom w:type="dxa" w:w="50"/>
              <w:right w:type="dxa" w:w="100"/>
            </w:tcMar>
          </w:tcPr>
          <w:p>
            <w:r>
              <w:rPr>
                <w:rFonts w:ascii="Arial" w:cs="Arial" w:eastAsia="Arial" w:hAnsi="Arial"/>
                <w:sz w:val="18"/>
                <w:szCs w:val="18"/>
              </w:rPr>
              <w:t xml:space="preserve">Lightweight contact management with import, filtering, enrichment.</w:t>
            </w:r>
          </w:p>
        </w:tc>
        <w:tc>
          <w:tcPr>
            <w:tcW w:type="dxa" w:w="3000"/>
            <w:tcBorders>
              <w:top w:val="single" w:color="CBD5E1" w:sz="1"/>
              <w:left w:val="single" w:color="CBD5E1" w:sz="1"/>
              <w:bottom w:val="single" w:color="CBD5E1" w:sz="1"/>
              <w:right w:val="single" w:color="CBD5E1" w:sz="1"/>
            </w:tcBorders>
            <w:shd w:fill="F1F5F9" w:val="clear"/>
            <w:tcMar>
              <w:top w:type="dxa" w:w="50"/>
              <w:left w:type="dxa" w:w="100"/>
              <w:bottom w:type="dxa" w:w="50"/>
              <w:right w:type="dxa" w:w="100"/>
            </w:tcMar>
          </w:tcPr>
          <w:p>
            <w:r>
              <w:rPr>
                <w:rFonts w:ascii="Arial" w:cs="Arial" w:eastAsia="Arial" w:hAnsi="Arial"/>
                <w:sz w:val="18"/>
                <w:szCs w:val="18"/>
              </w:rPr>
              <w:t xml:space="preserve">Bridges gap to full CRM without the cost</w:t>
            </w:r>
          </w:p>
        </w:tc>
      </w:tr>
      <w:tr>
        <w:tc>
          <w:tcPr>
            <w:tcW w:type="dxa" w:w="240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b/>
                <w:bCs/>
                <w:sz w:val="18"/>
                <w:szCs w:val="18"/>
              </w:rPr>
              <w:t xml:space="preserve">Inline Skin Editor</w:t>
            </w:r>
          </w:p>
        </w:tc>
        <w:tc>
          <w:tcPr>
            <w:tcW w:type="dxa" w:w="396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sz w:val="18"/>
                <w:szCs w:val="18"/>
              </w:rPr>
              <w:t xml:space="preserve">WYSIWYG template customization with live preview.</w:t>
            </w:r>
          </w:p>
        </w:tc>
        <w:tc>
          <w:tcPr>
            <w:tcW w:type="dxa" w:w="300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sz w:val="18"/>
                <w:szCs w:val="18"/>
              </w:rPr>
              <w:t xml:space="preserve">Better template editing than Unbounce</w:t>
            </w:r>
          </w:p>
        </w:tc>
      </w:tr>
    </w:tbl>
    <w:p>
      <w:r>
        <w:br w:type="page"/>
      </w:r>
    </w:p>
    <w:p>
      <w:pPr>
        <w:pStyle w:val="Heading1"/>
      </w:pPr>
      <w:r>
        <w:t xml:space="preserve">7.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200"/>
        <w:gridCol w:w="2360"/>
      </w:tblGrid>
      <w:tr>
        <w:tc>
          <w:tcPr>
            <w:tcW w:type="dxa" w:w="2600"/>
            <w:tcBorders>
              <w:top w:val="single" w:color="CBD5E1" w:sz="1"/>
              <w:left w:val="single" w:color="CBD5E1" w:sz="1"/>
              <w:bottom w:val="single" w:color="CBD5E1" w:sz="1"/>
              <w:right w:val="single" w:color="CBD5E1" w:sz="1"/>
            </w:tcBorders>
            <w:shd w:fill="1E293B" w:val="clear"/>
            <w:tcMar>
              <w:top w:type="dxa" w:w="60"/>
              <w:left w:type="dxa" w:w="100"/>
              <w:bottom w:type="dxa" w:w="60"/>
              <w:right w:type="dxa" w:w="100"/>
            </w:tcMar>
          </w:tcPr>
          <w:p>
            <w:r>
              <w:rPr>
                <w:rFonts w:ascii="Arial" w:cs="Arial" w:eastAsia="Arial" w:hAnsi="Arial"/>
                <w:b/>
                <w:bCs/>
                <w:color w:val="FFFFFF"/>
                <w:sz w:val="19"/>
                <w:szCs w:val="19"/>
              </w:rPr>
              <w:t xml:space="preserve">Risk</w:t>
            </w:r>
          </w:p>
        </w:tc>
        <w:tc>
          <w:tcPr>
            <w:tcW w:type="dxa" w:w="2200"/>
            <w:tcBorders>
              <w:top w:val="single" w:color="CBD5E1" w:sz="1"/>
              <w:left w:val="single" w:color="CBD5E1" w:sz="1"/>
              <w:bottom w:val="single" w:color="CBD5E1" w:sz="1"/>
              <w:right w:val="single" w:color="CBD5E1" w:sz="1"/>
            </w:tcBorders>
            <w:shd w:fill="1E293B" w:val="clear"/>
            <w:tcMar>
              <w:top w:type="dxa" w:w="60"/>
              <w:left w:type="dxa" w:w="100"/>
              <w:bottom w:type="dxa" w:w="60"/>
              <w:right w:type="dxa" w:w="100"/>
            </w:tcMar>
          </w:tcPr>
          <w:p>
            <w:r>
              <w:rPr>
                <w:rFonts w:ascii="Arial" w:cs="Arial" w:eastAsia="Arial" w:hAnsi="Arial"/>
                <w:b/>
                <w:bCs/>
                <w:color w:val="FFFFFF"/>
                <w:sz w:val="19"/>
                <w:szCs w:val="19"/>
              </w:rPr>
              <w:t xml:space="preserve">Impact</w:t>
            </w:r>
          </w:p>
        </w:tc>
        <w:tc>
          <w:tcPr>
            <w:tcW w:type="dxa" w:w="2200"/>
            <w:tcBorders>
              <w:top w:val="single" w:color="CBD5E1" w:sz="1"/>
              <w:left w:val="single" w:color="CBD5E1" w:sz="1"/>
              <w:bottom w:val="single" w:color="CBD5E1" w:sz="1"/>
              <w:right w:val="single" w:color="CBD5E1" w:sz="1"/>
            </w:tcBorders>
            <w:shd w:fill="1E293B" w:val="clear"/>
            <w:tcMar>
              <w:top w:type="dxa" w:w="60"/>
              <w:left w:type="dxa" w:w="100"/>
              <w:bottom w:type="dxa" w:w="60"/>
              <w:right w:type="dxa" w:w="100"/>
            </w:tcMar>
          </w:tcPr>
          <w:p>
            <w:r>
              <w:rPr>
                <w:rFonts w:ascii="Arial" w:cs="Arial" w:eastAsia="Arial" w:hAnsi="Arial"/>
                <w:b/>
                <w:bCs/>
                <w:color w:val="FFFFFF"/>
                <w:sz w:val="19"/>
                <w:szCs w:val="19"/>
              </w:rPr>
              <w:t xml:space="preserve">Likelihood</w:t>
            </w:r>
          </w:p>
        </w:tc>
        <w:tc>
          <w:tcPr>
            <w:tcW w:type="dxa" w:w="2360"/>
            <w:tcBorders>
              <w:top w:val="single" w:color="CBD5E1" w:sz="1"/>
              <w:left w:val="single" w:color="CBD5E1" w:sz="1"/>
              <w:bottom w:val="single" w:color="CBD5E1" w:sz="1"/>
              <w:right w:val="single" w:color="CBD5E1" w:sz="1"/>
            </w:tcBorders>
            <w:shd w:fill="1E293B" w:val="clear"/>
            <w:tcMar>
              <w:top w:type="dxa" w:w="60"/>
              <w:left w:type="dxa" w:w="100"/>
              <w:bottom w:type="dxa" w:w="60"/>
              <w:right w:type="dxa" w:w="100"/>
            </w:tcMar>
          </w:tcPr>
          <w:p>
            <w:r>
              <w:rPr>
                <w:rFonts w:ascii="Arial" w:cs="Arial" w:eastAsia="Arial" w:hAnsi="Arial"/>
                <w:b/>
                <w:bCs/>
                <w:color w:val="FFFFFF"/>
                <w:sz w:val="19"/>
                <w:szCs w:val="19"/>
              </w:rPr>
              <w:t xml:space="preserve">Mitigation</w:t>
            </w:r>
          </w:p>
        </w:tc>
      </w:tr>
      <w:tr>
        <w:tc>
          <w:tcPr>
            <w:tcW w:type="dxa" w:w="260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sz w:val="18"/>
                <w:szCs w:val="18"/>
              </w:rPr>
              <w:t xml:space="preserve">Public repo exposes code to competitors</w:t>
            </w:r>
          </w:p>
        </w:tc>
        <w:tc>
          <w:tcPr>
            <w:tcW w:type="dxa" w:w="220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sz w:val="18"/>
                <w:szCs w:val="18"/>
              </w:rPr>
              <w:t xml:space="preserve">High — competitive risk</w:t>
            </w:r>
          </w:p>
        </w:tc>
        <w:tc>
          <w:tcPr>
            <w:tcW w:type="dxa" w:w="220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sz w:val="18"/>
                <w:szCs w:val="18"/>
              </w:rPr>
              <w:t xml:space="preserve">High — repo is public now</w:t>
            </w:r>
          </w:p>
        </w:tc>
        <w:tc>
          <w:tcPr>
            <w:tcW w:type="dxa" w:w="236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sz w:val="18"/>
                <w:szCs w:val="18"/>
              </w:rPr>
              <w:t xml:space="preserve">Make private immediately</w:t>
            </w:r>
          </w:p>
        </w:tc>
      </w:tr>
      <w:tr>
        <w:tc>
          <w:tcPr>
            <w:tcW w:type="dxa" w:w="2600"/>
            <w:tcBorders>
              <w:top w:val="single" w:color="CBD5E1" w:sz="1"/>
              <w:left w:val="single" w:color="CBD5E1" w:sz="1"/>
              <w:bottom w:val="single" w:color="CBD5E1" w:sz="1"/>
              <w:right w:val="single" w:color="CBD5E1" w:sz="1"/>
            </w:tcBorders>
            <w:shd w:fill="F1F5F9" w:val="clear"/>
            <w:tcMar>
              <w:top w:type="dxa" w:w="50"/>
              <w:left w:type="dxa" w:w="100"/>
              <w:bottom w:type="dxa" w:w="50"/>
              <w:right w:type="dxa" w:w="100"/>
            </w:tcMar>
          </w:tcPr>
          <w:p>
            <w:r>
              <w:rPr>
                <w:rFonts w:ascii="Arial" w:cs="Arial" w:eastAsia="Arial" w:hAnsi="Arial"/>
                <w:sz w:val="18"/>
                <w:szCs w:val="18"/>
              </w:rPr>
              <w:t xml:space="preserve">No auth system in either app</w:t>
            </w:r>
          </w:p>
        </w:tc>
        <w:tc>
          <w:tcPr>
            <w:tcW w:type="dxa" w:w="2200"/>
            <w:tcBorders>
              <w:top w:val="single" w:color="CBD5E1" w:sz="1"/>
              <w:left w:val="single" w:color="CBD5E1" w:sz="1"/>
              <w:bottom w:val="single" w:color="CBD5E1" w:sz="1"/>
              <w:right w:val="single" w:color="CBD5E1" w:sz="1"/>
            </w:tcBorders>
            <w:shd w:fill="F1F5F9" w:val="clear"/>
            <w:tcMar>
              <w:top w:type="dxa" w:w="50"/>
              <w:left w:type="dxa" w:w="100"/>
              <w:bottom w:type="dxa" w:w="50"/>
              <w:right w:type="dxa" w:w="100"/>
            </w:tcMar>
          </w:tcPr>
          <w:p>
            <w:r>
              <w:rPr>
                <w:rFonts w:ascii="Arial" w:cs="Arial" w:eastAsia="Arial" w:hAnsi="Arial"/>
                <w:sz w:val="18"/>
                <w:szCs w:val="18"/>
              </w:rPr>
              <w:t xml:space="preserve">Critical — blocker for SaaS</w:t>
            </w:r>
          </w:p>
        </w:tc>
        <w:tc>
          <w:tcPr>
            <w:tcW w:type="dxa" w:w="2200"/>
            <w:tcBorders>
              <w:top w:val="single" w:color="CBD5E1" w:sz="1"/>
              <w:left w:val="single" w:color="CBD5E1" w:sz="1"/>
              <w:bottom w:val="single" w:color="CBD5E1" w:sz="1"/>
              <w:right w:val="single" w:color="CBD5E1" w:sz="1"/>
            </w:tcBorders>
            <w:shd w:fill="F1F5F9" w:val="clear"/>
            <w:tcMar>
              <w:top w:type="dxa" w:w="50"/>
              <w:left w:type="dxa" w:w="100"/>
              <w:bottom w:type="dxa" w:w="50"/>
              <w:right w:type="dxa" w:w="100"/>
            </w:tcMar>
          </w:tcPr>
          <w:p>
            <w:r>
              <w:rPr>
                <w:rFonts w:ascii="Arial" w:cs="Arial" w:eastAsia="Arial" w:hAnsi="Arial"/>
                <w:sz w:val="18"/>
                <w:szCs w:val="18"/>
              </w:rPr>
              <w:t xml:space="preserve">Certain</w:t>
            </w:r>
          </w:p>
        </w:tc>
        <w:tc>
          <w:tcPr>
            <w:tcW w:type="dxa" w:w="2360"/>
            <w:tcBorders>
              <w:top w:val="single" w:color="CBD5E1" w:sz="1"/>
              <w:left w:val="single" w:color="CBD5E1" w:sz="1"/>
              <w:bottom w:val="single" w:color="CBD5E1" w:sz="1"/>
              <w:right w:val="single" w:color="CBD5E1" w:sz="1"/>
            </w:tcBorders>
            <w:shd w:fill="F1F5F9" w:val="clear"/>
            <w:tcMar>
              <w:top w:type="dxa" w:w="50"/>
              <w:left w:type="dxa" w:w="100"/>
              <w:bottom w:type="dxa" w:w="50"/>
              <w:right w:type="dxa" w:w="100"/>
            </w:tcMar>
          </w:tcPr>
          <w:p>
            <w:r>
              <w:rPr>
                <w:rFonts w:ascii="Arial" w:cs="Arial" w:eastAsia="Arial" w:hAnsi="Arial"/>
                <w:sz w:val="18"/>
                <w:szCs w:val="18"/>
              </w:rPr>
              <w:t xml:space="preserve">Phase 1 priority, use proven auth (Clerk/Supabase)</w:t>
            </w:r>
          </w:p>
        </w:tc>
      </w:tr>
      <w:tr>
        <w:tc>
          <w:tcPr>
            <w:tcW w:type="dxa" w:w="260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sz w:val="18"/>
                <w:szCs w:val="18"/>
              </w:rPr>
              <w:t xml:space="preserve">Two different databases</w:t>
            </w:r>
          </w:p>
        </w:tc>
        <w:tc>
          <w:tcPr>
            <w:tcW w:type="dxa" w:w="220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sz w:val="18"/>
                <w:szCs w:val="18"/>
              </w:rPr>
              <w:t xml:space="preserve">Medium — migration complexity</w:t>
            </w:r>
          </w:p>
        </w:tc>
        <w:tc>
          <w:tcPr>
            <w:tcW w:type="dxa" w:w="220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sz w:val="18"/>
                <w:szCs w:val="18"/>
              </w:rPr>
              <w:t xml:space="preserve">Certain</w:t>
            </w:r>
          </w:p>
        </w:tc>
        <w:tc>
          <w:tcPr>
            <w:tcW w:type="dxa" w:w="236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sz w:val="18"/>
                <w:szCs w:val="18"/>
              </w:rPr>
              <w:t xml:space="preserve">Keep Neon Postgres as primary, use Supabase for auth only</w:t>
            </w:r>
          </w:p>
        </w:tc>
      </w:tr>
      <w:tr>
        <w:tc>
          <w:tcPr>
            <w:tcW w:type="dxa" w:w="2600"/>
            <w:tcBorders>
              <w:top w:val="single" w:color="CBD5E1" w:sz="1"/>
              <w:left w:val="single" w:color="CBD5E1" w:sz="1"/>
              <w:bottom w:val="single" w:color="CBD5E1" w:sz="1"/>
              <w:right w:val="single" w:color="CBD5E1" w:sz="1"/>
            </w:tcBorders>
            <w:shd w:fill="F1F5F9" w:val="clear"/>
            <w:tcMar>
              <w:top w:type="dxa" w:w="50"/>
              <w:left w:type="dxa" w:w="100"/>
              <w:bottom w:type="dxa" w:w="50"/>
              <w:right w:type="dxa" w:w="100"/>
            </w:tcMar>
          </w:tcPr>
          <w:p>
            <w:r>
              <w:rPr>
                <w:rFonts w:ascii="Arial" w:cs="Arial" w:eastAsia="Arial" w:hAnsi="Arial"/>
                <w:sz w:val="18"/>
                <w:szCs w:val="18"/>
              </w:rPr>
              <w:t xml:space="preserve">Lovable-generated code quality in dandy-ent</w:t>
            </w:r>
          </w:p>
        </w:tc>
        <w:tc>
          <w:tcPr>
            <w:tcW w:type="dxa" w:w="2200"/>
            <w:tcBorders>
              <w:top w:val="single" w:color="CBD5E1" w:sz="1"/>
              <w:left w:val="single" w:color="CBD5E1" w:sz="1"/>
              <w:bottom w:val="single" w:color="CBD5E1" w:sz="1"/>
              <w:right w:val="single" w:color="CBD5E1" w:sz="1"/>
            </w:tcBorders>
            <w:shd w:fill="F1F5F9" w:val="clear"/>
            <w:tcMar>
              <w:top w:type="dxa" w:w="50"/>
              <w:left w:type="dxa" w:w="100"/>
              <w:bottom w:type="dxa" w:w="50"/>
              <w:right w:type="dxa" w:w="100"/>
            </w:tcMar>
          </w:tcPr>
          <w:p>
            <w:r>
              <w:rPr>
                <w:rFonts w:ascii="Arial" w:cs="Arial" w:eastAsia="Arial" w:hAnsi="Arial"/>
                <w:sz w:val="18"/>
                <w:szCs w:val="18"/>
              </w:rPr>
              <w:t xml:space="preserve">Medium — tech debt</w:t>
            </w:r>
          </w:p>
        </w:tc>
        <w:tc>
          <w:tcPr>
            <w:tcW w:type="dxa" w:w="2200"/>
            <w:tcBorders>
              <w:top w:val="single" w:color="CBD5E1" w:sz="1"/>
              <w:left w:val="single" w:color="CBD5E1" w:sz="1"/>
              <w:bottom w:val="single" w:color="CBD5E1" w:sz="1"/>
              <w:right w:val="single" w:color="CBD5E1" w:sz="1"/>
            </w:tcBorders>
            <w:shd w:fill="F1F5F9" w:val="clear"/>
            <w:tcMar>
              <w:top w:type="dxa" w:w="50"/>
              <w:left w:type="dxa" w:w="100"/>
              <w:bottom w:type="dxa" w:w="50"/>
              <w:right w:type="dxa" w:w="100"/>
            </w:tcMar>
          </w:tcPr>
          <w:p>
            <w:r>
              <w:rPr>
                <w:rFonts w:ascii="Arial" w:cs="Arial" w:eastAsia="Arial" w:hAnsi="Arial"/>
                <w:sz w:val="18"/>
                <w:szCs w:val="18"/>
              </w:rPr>
              <w:t xml:space="preserve">High</w:t>
            </w:r>
          </w:p>
        </w:tc>
        <w:tc>
          <w:tcPr>
            <w:tcW w:type="dxa" w:w="2360"/>
            <w:tcBorders>
              <w:top w:val="single" w:color="CBD5E1" w:sz="1"/>
              <w:left w:val="single" w:color="CBD5E1" w:sz="1"/>
              <w:bottom w:val="single" w:color="CBD5E1" w:sz="1"/>
              <w:right w:val="single" w:color="CBD5E1" w:sz="1"/>
            </w:tcBorders>
            <w:shd w:fill="F1F5F9" w:val="clear"/>
            <w:tcMar>
              <w:top w:type="dxa" w:w="50"/>
              <w:left w:type="dxa" w:w="100"/>
              <w:bottom w:type="dxa" w:w="50"/>
              <w:right w:type="dxa" w:w="100"/>
            </w:tcMar>
          </w:tcPr>
          <w:p>
            <w:r>
              <w:rPr>
                <w:rFonts w:ascii="Arial" w:cs="Arial" w:eastAsia="Arial" w:hAnsi="Arial"/>
                <w:sz w:val="18"/>
                <w:szCs w:val="18"/>
              </w:rPr>
              <w:t xml:space="preserve">Refactor during migration, only port tested features</w:t>
            </w:r>
          </w:p>
        </w:tc>
      </w:tr>
      <w:tr>
        <w:tc>
          <w:tcPr>
            <w:tcW w:type="dxa" w:w="260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sz w:val="18"/>
                <w:szCs w:val="18"/>
              </w:rPr>
              <w:t xml:space="preserve">Feature scope creep delays launch</w:t>
            </w:r>
          </w:p>
        </w:tc>
        <w:tc>
          <w:tcPr>
            <w:tcW w:type="dxa" w:w="220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sz w:val="18"/>
                <w:szCs w:val="18"/>
              </w:rPr>
              <w:t xml:space="preserve">High — missed window</w:t>
            </w:r>
          </w:p>
        </w:tc>
        <w:tc>
          <w:tcPr>
            <w:tcW w:type="dxa" w:w="220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sz w:val="18"/>
                <w:szCs w:val="18"/>
              </w:rPr>
              <w:t xml:space="preserve">Medium</w:t>
            </w:r>
          </w:p>
        </w:tc>
        <w:tc>
          <w:tcPr>
            <w:tcW w:type="dxa" w:w="236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sz w:val="18"/>
                <w:szCs w:val="18"/>
              </w:rPr>
              <w:t xml:space="preserve">MVP = builder + testing + Smart Traffic. Sales tools in v2.</w:t>
            </w:r>
          </w:p>
        </w:tc>
      </w:tr>
      <w:tr>
        <w:tc>
          <w:tcPr>
            <w:tcW w:type="dxa" w:w="2600"/>
            <w:tcBorders>
              <w:top w:val="single" w:color="CBD5E1" w:sz="1"/>
              <w:left w:val="single" w:color="CBD5E1" w:sz="1"/>
              <w:bottom w:val="single" w:color="CBD5E1" w:sz="1"/>
              <w:right w:val="single" w:color="CBD5E1" w:sz="1"/>
            </w:tcBorders>
            <w:shd w:fill="F1F5F9" w:val="clear"/>
            <w:tcMar>
              <w:top w:type="dxa" w:w="50"/>
              <w:left w:type="dxa" w:w="100"/>
              <w:bottom w:type="dxa" w:w="50"/>
              <w:right w:type="dxa" w:w="100"/>
            </w:tcMar>
          </w:tcPr>
          <w:p>
            <w:r>
              <w:rPr>
                <w:rFonts w:ascii="Arial" w:cs="Arial" w:eastAsia="Arial" w:hAnsi="Arial"/>
                <w:sz w:val="18"/>
                <w:szCs w:val="18"/>
              </w:rPr>
              <w:t xml:space="preserve">Unbounce/Instapage add similar AI features</w:t>
            </w:r>
          </w:p>
        </w:tc>
        <w:tc>
          <w:tcPr>
            <w:tcW w:type="dxa" w:w="2200"/>
            <w:tcBorders>
              <w:top w:val="single" w:color="CBD5E1" w:sz="1"/>
              <w:left w:val="single" w:color="CBD5E1" w:sz="1"/>
              <w:bottom w:val="single" w:color="CBD5E1" w:sz="1"/>
              <w:right w:val="single" w:color="CBD5E1" w:sz="1"/>
            </w:tcBorders>
            <w:shd w:fill="F1F5F9" w:val="clear"/>
            <w:tcMar>
              <w:top w:type="dxa" w:w="50"/>
              <w:left w:type="dxa" w:w="100"/>
              <w:bottom w:type="dxa" w:w="50"/>
              <w:right w:type="dxa" w:w="100"/>
            </w:tcMar>
          </w:tcPr>
          <w:p>
            <w:r>
              <w:rPr>
                <w:rFonts w:ascii="Arial" w:cs="Arial" w:eastAsia="Arial" w:hAnsi="Arial"/>
                <w:sz w:val="18"/>
                <w:szCs w:val="18"/>
              </w:rPr>
              <w:t xml:space="preserve">Medium — competitive pressure</w:t>
            </w:r>
          </w:p>
        </w:tc>
        <w:tc>
          <w:tcPr>
            <w:tcW w:type="dxa" w:w="2200"/>
            <w:tcBorders>
              <w:top w:val="single" w:color="CBD5E1" w:sz="1"/>
              <w:left w:val="single" w:color="CBD5E1" w:sz="1"/>
              <w:bottom w:val="single" w:color="CBD5E1" w:sz="1"/>
              <w:right w:val="single" w:color="CBD5E1" w:sz="1"/>
            </w:tcBorders>
            <w:shd w:fill="F1F5F9" w:val="clear"/>
            <w:tcMar>
              <w:top w:type="dxa" w:w="50"/>
              <w:left w:type="dxa" w:w="100"/>
              <w:bottom w:type="dxa" w:w="50"/>
              <w:right w:type="dxa" w:w="100"/>
            </w:tcMar>
          </w:tcPr>
          <w:p>
            <w:r>
              <w:rPr>
                <w:rFonts w:ascii="Arial" w:cs="Arial" w:eastAsia="Arial" w:hAnsi="Arial"/>
                <w:sz w:val="18"/>
                <w:szCs w:val="18"/>
              </w:rPr>
              <w:t xml:space="preserve">High</w:t>
            </w:r>
          </w:p>
        </w:tc>
        <w:tc>
          <w:tcPr>
            <w:tcW w:type="dxa" w:w="2360"/>
            <w:tcBorders>
              <w:top w:val="single" w:color="CBD5E1" w:sz="1"/>
              <w:left w:val="single" w:color="CBD5E1" w:sz="1"/>
              <w:bottom w:val="single" w:color="CBD5E1" w:sz="1"/>
              <w:right w:val="single" w:color="CBD5E1" w:sz="1"/>
            </w:tcBorders>
            <w:shd w:fill="F1F5F9" w:val="clear"/>
            <w:tcMar>
              <w:top w:type="dxa" w:w="50"/>
              <w:left w:type="dxa" w:w="100"/>
              <w:bottom w:type="dxa" w:w="50"/>
              <w:right w:type="dxa" w:w="100"/>
            </w:tcMar>
          </w:tcPr>
          <w:p>
            <w:r>
              <w:rPr>
                <w:rFonts w:ascii="Arial" w:cs="Arial" w:eastAsia="Arial" w:hAnsi="Arial"/>
                <w:sz w:val="18"/>
                <w:szCs w:val="18"/>
              </w:rPr>
              <w:t xml:space="preserve">Move fast. Sales enablement + signals is defensible moat.</w:t>
            </w:r>
          </w:p>
        </w:tc>
      </w:tr>
    </w:tbl>
    <w:p>
      <w:r>
        <w:br w:type="page"/>
      </w:r>
    </w:p>
    <w:p>
      <w:pPr>
        <w:pStyle w:val="Heading1"/>
      </w:pPr>
      <w:r>
        <w:t xml:space="preserve">8. Success Metrics</w:t>
      </w:r>
    </w:p>
    <w:p>
      <w:pPr>
        <w:pStyle w:val="Heading2"/>
      </w:pPr>
      <w:r>
        <w:t xml:space="preserve">Launch KPIs (First 90 Days)</w:t>
      </w:r>
    </w:p>
    <w:p>
      <w:pPr>
        <w:pStyle w:val="ListParagraph"/>
        <w:numPr>
          <w:ilvl w:val="0"/>
          <w:numId w:val="17"/>
        </w:numPr>
        <w:spacing w:after="60"/>
      </w:pPr>
      <w:r>
        <w:rPr>
          <w:b/>
          <w:bCs/>
          <w:sz w:val="21"/>
          <w:szCs w:val="21"/>
        </w:rPr>
        <w:t xml:space="preserve">Activation: </w:t>
      </w:r>
      <w:r>
        <w:rPr>
          <w:sz w:val="21"/>
          <w:szCs w:val="21"/>
        </w:rPr>
        <w:t xml:space="preserve">100 pages created across beta customers</w:t>
      </w:r>
    </w:p>
    <w:p>
      <w:pPr>
        <w:pStyle w:val="ListParagraph"/>
        <w:numPr>
          <w:ilvl w:val="0"/>
          <w:numId w:val="17"/>
        </w:numPr>
        <w:spacing w:after="60"/>
      </w:pPr>
      <w:r>
        <w:rPr>
          <w:b/>
          <w:bCs/>
          <w:sz w:val="21"/>
          <w:szCs w:val="21"/>
        </w:rPr>
        <w:t xml:space="preserve">Engagement: </w:t>
      </w:r>
      <w:r>
        <w:rPr>
          <w:sz w:val="21"/>
          <w:szCs w:val="21"/>
        </w:rPr>
        <w:t xml:space="preserve">50% of pages have Smart Traffic enabled</w:t>
      </w:r>
    </w:p>
    <w:p>
      <w:pPr>
        <w:pStyle w:val="ListParagraph"/>
        <w:numPr>
          <w:ilvl w:val="0"/>
          <w:numId w:val="17"/>
        </w:numPr>
        <w:spacing w:after="60"/>
      </w:pPr>
      <w:r>
        <w:rPr>
          <w:b/>
          <w:bCs/>
          <w:sz w:val="21"/>
          <w:szCs w:val="21"/>
        </w:rPr>
        <w:t xml:space="preserve">Conversion: </w:t>
      </w:r>
      <w:r>
        <w:rPr>
          <w:sz w:val="21"/>
          <w:szCs w:val="21"/>
        </w:rPr>
        <w:t xml:space="preserve">Average Smart Traffic lift of 20%+ vs. control</w:t>
      </w:r>
    </w:p>
    <w:p>
      <w:pPr>
        <w:pStyle w:val="ListParagraph"/>
        <w:numPr>
          <w:ilvl w:val="0"/>
          <w:numId w:val="17"/>
        </w:numPr>
        <w:spacing w:after="60"/>
      </w:pPr>
      <w:r>
        <w:rPr>
          <w:b/>
          <w:bCs/>
          <w:sz w:val="21"/>
          <w:szCs w:val="21"/>
        </w:rPr>
        <w:t xml:space="preserve">Revenue: </w:t>
      </w:r>
      <w:r>
        <w:rPr>
          <w:sz w:val="21"/>
          <w:szCs w:val="21"/>
        </w:rPr>
        <w:t xml:space="preserve">10 paying customers at $199+/mo = $2K+ MRR</w:t>
      </w:r>
    </w:p>
    <w:p>
      <w:pPr>
        <w:pStyle w:val="ListParagraph"/>
        <w:numPr>
          <w:ilvl w:val="0"/>
          <w:numId w:val="17"/>
        </w:numPr>
        <w:spacing w:after="60"/>
      </w:pPr>
      <w:r>
        <w:rPr>
          <w:b/>
          <w:bCs/>
          <w:sz w:val="21"/>
          <w:szCs w:val="21"/>
        </w:rPr>
        <w:t xml:space="preserve">Retention: </w:t>
      </w:r>
      <w:r>
        <w:rPr>
          <w:sz w:val="21"/>
          <w:szCs w:val="21"/>
        </w:rPr>
        <w:t xml:space="preserve">80%+ 30-day retention of active users</w:t>
      </w:r>
    </w:p>
    <w:p>
      <w:pPr>
        <w:spacing w:after="80"/>
      </w:pPr>
    </w:p>
    <w:p>
      <w:pPr>
        <w:pStyle w:val="Heading2"/>
      </w:pPr>
      <w:r>
        <w:t xml:space="preserve">Growth KPIs (Months 3–6)</w:t>
      </w:r>
    </w:p>
    <w:p>
      <w:pPr>
        <w:pStyle w:val="ListParagraph"/>
        <w:numPr>
          <w:ilvl w:val="0"/>
          <w:numId w:val="18"/>
        </w:numPr>
        <w:spacing w:after="60"/>
      </w:pPr>
      <w:r>
        <w:rPr>
          <w:b/>
          <w:bCs/>
          <w:sz w:val="21"/>
          <w:szCs w:val="21"/>
        </w:rPr>
        <w:t xml:space="preserve">Revenue: </w:t>
      </w:r>
      <w:r>
        <w:rPr>
          <w:sz w:val="21"/>
          <w:szCs w:val="21"/>
        </w:rPr>
        <w:t xml:space="preserve">$20K MRR (100 customers at blended $200/mo)</w:t>
      </w:r>
    </w:p>
    <w:p>
      <w:pPr>
        <w:pStyle w:val="ListParagraph"/>
        <w:numPr>
          <w:ilvl w:val="0"/>
          <w:numId w:val="18"/>
        </w:numPr>
        <w:spacing w:after="60"/>
      </w:pPr>
      <w:r>
        <w:rPr>
          <w:b/>
          <w:bCs/>
          <w:sz w:val="21"/>
          <w:szCs w:val="21"/>
        </w:rPr>
        <w:t xml:space="preserve">Usage: </w:t>
      </w:r>
      <w:r>
        <w:rPr>
          <w:sz w:val="21"/>
          <w:szCs w:val="21"/>
        </w:rPr>
        <w:t xml:space="preserve">1,000+ pages published, 500K+ visitors tracked</w:t>
      </w:r>
    </w:p>
    <w:p>
      <w:pPr>
        <w:pStyle w:val="ListParagraph"/>
        <w:numPr>
          <w:ilvl w:val="0"/>
          <w:numId w:val="18"/>
        </w:numPr>
        <w:spacing w:after="60"/>
      </w:pPr>
      <w:r>
        <w:rPr>
          <w:b/>
          <w:bCs/>
          <w:sz w:val="21"/>
          <w:szCs w:val="21"/>
        </w:rPr>
        <w:t xml:space="preserve">NPS: </w:t>
      </w:r>
      <w:r>
        <w:rPr>
          <w:sz w:val="21"/>
          <w:szCs w:val="21"/>
        </w:rPr>
        <w:t xml:space="preserve">50+ from beta cohort</w:t>
      </w:r>
    </w:p>
    <w:p>
      <w:pPr>
        <w:pStyle w:val="ListParagraph"/>
        <w:numPr>
          <w:ilvl w:val="0"/>
          <w:numId w:val="18"/>
        </w:numPr>
        <w:spacing w:after="60"/>
      </w:pPr>
      <w:r>
        <w:rPr>
          <w:b/>
          <w:bCs/>
          <w:sz w:val="21"/>
          <w:szCs w:val="21"/>
        </w:rPr>
        <w:t xml:space="preserve">Expansion: </w:t>
      </w:r>
      <w:r>
        <w:rPr>
          <w:sz w:val="21"/>
          <w:szCs w:val="21"/>
        </w:rPr>
        <w:t xml:space="preserve">30%+ of Starter customers upgrade to Growth</w:t>
      </w:r>
    </w:p>
    <w:p>
      <w:pPr>
        <w:pStyle w:val="ListParagraph"/>
        <w:numPr>
          <w:ilvl w:val="0"/>
          <w:numId w:val="18"/>
        </w:numPr>
        <w:spacing w:after="60"/>
      </w:pPr>
      <w:r>
        <w:rPr>
          <w:b/>
          <w:bCs/>
          <w:sz w:val="21"/>
          <w:szCs w:val="21"/>
        </w:rPr>
        <w:t xml:space="preserve">Pipeline: </w:t>
      </w:r>
      <w:r>
        <w:rPr>
          <w:sz w:val="21"/>
          <w:szCs w:val="21"/>
        </w:rPr>
        <w:t xml:space="preserve">200+ qualified leads from inbound + outbound</w:t>
      </w:r>
    </w:p>
    <w:p>
      <w:r>
        <w:br w:type="page"/>
      </w:r>
    </w:p>
    <w:p>
      <w:pPr>
        <w:pStyle w:val="Heading1"/>
      </w:pPr>
      <w:r>
        <w:t xml:space="preserve">9. Executive Summary &amp; Recommendations</w:t>
      </w:r>
    </w:p>
    <w:p>
      <w:pPr>
        <w:pStyle w:val="ListParagraph"/>
        <w:numPr>
          <w:ilvl w:val="0"/>
          <w:numId w:val="19"/>
        </w:numPr>
        <w:spacing w:after="80"/>
      </w:pPr>
      <w:r>
        <w:rPr>
          <w:b/>
          <w:bCs/>
          <w:sz w:val="21"/>
          <w:szCs w:val="21"/>
        </w:rPr>
        <w:t xml:space="preserve">Lead with AI, not templates. </w:t>
      </w:r>
      <w:r>
        <w:rPr>
          <w:sz w:val="21"/>
          <w:szCs w:val="21"/>
        </w:rPr>
        <w:t xml:space="preserve">The positioning should be “AI-first content platform” not “landing page builder.” Every competitor is adding AI to an existing builder. LP Studio is the first platform built AI-first from day one. The old way of wireframes, meetings, iterations, and 4–8 week cycles is dead.</w:t>
      </w:r>
    </w:p>
    <w:p>
      <w:pPr>
        <w:pStyle w:val="ListParagraph"/>
        <w:numPr>
          <w:ilvl w:val="0"/>
          <w:numId w:val="19"/>
        </w:numPr>
        <w:spacing w:after="80"/>
      </w:pPr>
      <w:r>
        <w:rPr>
          <w:b/>
          <w:bCs/>
          <w:sz w:val="21"/>
          <w:szCs w:val="21"/>
        </w:rPr>
        <w:t xml:space="preserve">Use lp-studio as the foundation. </w:t>
      </w:r>
      <w:r>
        <w:rPr>
          <w:sz w:val="21"/>
          <w:szCs w:val="21"/>
        </w:rPr>
        <w:t xml:space="preserve">It has the more modern architecture (monorepo, Drizzle ORM, 25 API routes, 14 DB tables, Thompson Sampling). dandy-ent’s value is in its sales enablement content (microsites, calculators, email, contacts), not its architecture.</w:t>
      </w:r>
    </w:p>
    <w:p>
      <w:pPr>
        <w:pStyle w:val="ListParagraph"/>
        <w:numPr>
          <w:ilvl w:val="0"/>
          <w:numId w:val="19"/>
        </w:numPr>
        <w:spacing w:after="80"/>
      </w:pPr>
      <w:r>
        <w:rPr>
          <w:b/>
          <w:bCs/>
          <w:sz w:val="21"/>
          <w:szCs w:val="21"/>
        </w:rPr>
        <w:t xml:space="preserve">Make the repo private today. </w:t>
      </w:r>
      <w:r>
        <w:rPr>
          <w:sz w:val="21"/>
          <w:szCs w:val="21"/>
        </w:rPr>
        <w:t xml:space="preserve">lp-studio is currently public on GitHub. Before adding auth, billing, or competitive features, this must be private.</w:t>
      </w:r>
    </w:p>
    <w:p>
      <w:pPr>
        <w:pStyle w:val="ListParagraph"/>
        <w:numPr>
          <w:ilvl w:val="0"/>
          <w:numId w:val="19"/>
        </w:numPr>
        <w:spacing w:after="80"/>
      </w:pPr>
      <w:r>
        <w:rPr>
          <w:b/>
          <w:bCs/>
          <w:sz w:val="21"/>
          <w:szCs w:val="21"/>
        </w:rPr>
        <w:t xml:space="preserve">Build auth first. </w:t>
      </w:r>
      <w:r>
        <w:rPr>
          <w:sz w:val="21"/>
          <w:szCs w:val="21"/>
        </w:rPr>
        <w:t xml:space="preserve">Neither app has multi-tenant authentication. This is the #1 blocker. Everything else depends on it.</w:t>
      </w:r>
    </w:p>
    <w:p>
      <w:pPr>
        <w:pStyle w:val="ListParagraph"/>
        <w:numPr>
          <w:ilvl w:val="0"/>
          <w:numId w:val="19"/>
        </w:numPr>
        <w:spacing w:after="80"/>
      </w:pPr>
      <w:r>
        <w:rPr>
          <w:b/>
          <w:bCs/>
          <w:sz w:val="21"/>
          <w:szCs w:val="21"/>
        </w:rPr>
        <w:t xml:space="preserve">The sales enablement features are the moat. </w:t>
      </w:r>
      <w:r>
        <w:rPr>
          <w:sz w:val="21"/>
          <w:szCs w:val="21"/>
        </w:rPr>
        <w:t xml:space="preserve">Every competitor has a page builder. Nobody has personalized tracking links, real-time engagement alerts, AI account briefings, embeddable ROI calculators, and PDF one-pager generation. These features from dandy-ent turn LP Studio from “another Unbounce” into “the GTM platform that bridges marketing and sales.”</w:t>
      </w:r>
    </w:p>
    <w:p>
      <w:pPr>
        <w:pStyle w:val="ListParagraph"/>
        <w:numPr>
          <w:ilvl w:val="0"/>
          <w:numId w:val="19"/>
        </w:numPr>
        <w:spacing w:after="80"/>
      </w:pPr>
      <w:r>
        <w:rPr>
          <w:b/>
          <w:bCs/>
          <w:sz w:val="21"/>
          <w:szCs w:val="21"/>
        </w:rPr>
        <w:t xml:space="preserve">Stay industry-agnostic but vertical-ready. </w:t>
      </w:r>
      <w:r>
        <w:rPr>
          <w:sz w:val="21"/>
          <w:szCs w:val="21"/>
        </w:rPr>
        <w:t xml:space="preserve">The platform should work for any revenue team. But the dental microsite templates, ROI frameworks, and account briefing prompts can ship as a “Dental” vertical pack — proving the model for future verticals (healthcare, SaaS, fintech).</w:t>
      </w:r>
    </w:p>
    <w:p>
      <w:pPr>
        <w:pStyle w:val="ListParagraph"/>
        <w:numPr>
          <w:ilvl w:val="0"/>
          <w:numId w:val="19"/>
        </w:numPr>
        <w:spacing w:after="80"/>
      </w:pPr>
      <w:r>
        <w:rPr>
          <w:b/>
          <w:bCs/>
          <w:sz w:val="21"/>
          <w:szCs w:val="21"/>
        </w:rPr>
        <w:t xml:space="preserve">Price competitively against Unbounce ($99–249/mo), not HubSpot ($450+/mo). </w:t>
      </w:r>
      <w:r>
        <w:rPr>
          <w:sz w:val="21"/>
          <w:szCs w:val="21"/>
        </w:rPr>
        <w:t xml:space="preserve">The Growth tier at $199/mo with Smart Traffic + heatmaps + CRM push delivers more value than Unbounce Optimize at $249/mo. The Enterprise tier competes with Mutiny at a fraction of the price.</w:t>
      </w:r>
    </w:p>
    <w:p>
      <w:pPr>
        <w:pStyle w:val="ListParagraph"/>
        <w:numPr>
          <w:ilvl w:val="0"/>
          <w:numId w:val="19"/>
        </w:numPr>
        <w:spacing w:after="80"/>
      </w:pPr>
      <w:r>
        <w:rPr>
          <w:b/>
          <w:bCs/>
          <w:sz w:val="21"/>
          <w:szCs w:val="21"/>
        </w:rPr>
        <w:t xml:space="preserve">Ship in 8 weeks. </w:t>
      </w:r>
      <w:r>
        <w:rPr>
          <w:sz w:val="21"/>
          <w:szCs w:val="21"/>
        </w:rPr>
        <w:t xml:space="preserve">The code exists. Most features are already built. The work is consolidation, auth, and polish — not greenfield development. An 8-week timeline to public launch is aggressive but achievable.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4A3B8"/>
        <w:sz w:val="16"/>
        <w:szCs w:val="16"/>
      </w:rPr>
      <w:t xml:space="preserve">Page </w:t>
    </w:r>
    <w:r>
      <w:rPr>
        <w:color w:val="94A3B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C5CE7" w:sz="3" w:space="4"/>
      </w:pBdr>
      <w:tabs>
        <w:tab w:val="right" w:pos="9026"/>
      </w:tabs>
    </w:pPr>
    <w:r>
      <w:rPr>
        <w:i/>
        <w:iCs/>
        <w:color w:val="94A3B8"/>
        <w:sz w:val="16"/>
        <w:szCs w:val="16"/>
      </w:rPr>
      <w:t xml:space="preserve">LP Studio  |  GTM Strategy &amp; Competitive Analysis</w:t>
    </w:r>
    <w:r>
      <w:t xml:space="preserve">	</w:t>
    </w:r>
    <w:r>
      <w:rPr>
        <w:i/>
        <w:iCs/>
        <w:color w:val="94A3B8"/>
        <w:sz w:val="16"/>
        <w:szCs w:val="16"/>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abstractNum>
  <w:abstractNum w:abstractNumId="23" w15:restartNumberingAfterBreak="0">
    <w:multiLevelType w:val="hybridMultilevel"/>
    <w:lvl w:ilvl="0" w15:tentative="1">
      <w:start w:val="1"/>
      <w:numFmt w:val="bullet"/>
      <w:lvlText w:val="•"/>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abstractNum>
  <w:abstractNum w:abstractNumId="25" w15:restartNumberingAfterBreak="0">
    <w:multiLevelType w:val="hybridMultilevel"/>
    <w:lvl w:ilvl="0" w15:tentative="1">
      <w:start w:val="1"/>
      <w:numFmt w:val="bullet"/>
      <w:lvlText w:val="•"/>
      <w:lvlJc w:val="left"/>
      <w:pPr>
        <w:ind w:left="720" w:hanging="360"/>
      </w:pPr>
    </w:lvl>
  </w:abstractNum>
  <w:abstractNum w:abstractNumId="26" w15:restartNumberingAfterBreak="0">
    <w:multiLevelType w:val="hybridMultilevel"/>
    <w:lvl w:ilvl="0" w15:tentative="1">
      <w:start w:val="1"/>
      <w:numFmt w:val="bullet"/>
      <w:lvlText w:val="•"/>
      <w:lvlJc w:val="left"/>
      <w:pPr>
        <w:ind w:left="720" w:hanging="360"/>
      </w:pPr>
    </w:lvl>
  </w:abstractNum>
  <w:abstractNum w:abstractNumId="27" w15:restartNumberingAfterBreak="0">
    <w:multiLevelType w:val="hybridMultilevel"/>
    <w:lvl w:ilvl="0" w15:tentative="1">
      <w:start w:val="1"/>
      <w:numFmt w:val="bullet"/>
      <w:lvlText w:val="•"/>
      <w:lvlJc w:val="left"/>
      <w:pPr>
        <w:ind w:left="720" w:hanging="360"/>
      </w:pPr>
    </w:lvl>
  </w:abstractNum>
  <w:abstractNum w:abstractNumId="28" w15:restartNumberingAfterBreak="0">
    <w:multiLevelType w:val="hybridMultilevel"/>
    <w:lvl w:ilvl="0" w15:tentative="1">
      <w:start w:val="1"/>
      <w:numFmt w:val="bullet"/>
      <w:lvlText w:val="•"/>
      <w:lvlJc w:val="left"/>
      <w:pPr>
        <w:ind w:left="720" w:hanging="360"/>
      </w:pPr>
    </w:lvl>
  </w:abstractNum>
  <w:abstractNum w:abstractNumId="29" w15:restartNumberingAfterBreak="0">
    <w:multiLevelType w:val="hybridMultilevel"/>
    <w:lvl w:ilvl="0" w15:tentative="1">
      <w:start w:val="1"/>
      <w:numFmt w:val="bullet"/>
      <w:lvlText w:val="•"/>
      <w:lvlJc w:val="left"/>
      <w:pPr>
        <w:ind w:left="720" w:hanging="360"/>
      </w:pPr>
    </w:lvl>
  </w:abstractNum>
  <w:abstractNum w:abstractNumId="30" w15:restartNumberingAfterBreak="0">
    <w:multiLevelType w:val="hybridMultilevel"/>
    <w:lvl w:ilvl="0" w15:tentative="1">
      <w:start w:val="1"/>
      <w:numFmt w:val="bullet"/>
      <w:lvlText w:val="•"/>
      <w:lvlJc w:val="left"/>
      <w:pPr>
        <w:ind w:left="720" w:hanging="360"/>
      </w:pPr>
    </w:lvl>
  </w:abstractNum>
  <w:abstractNum w:abstractNumId="31" w15:restartNumberingAfterBreak="0">
    <w:multiLevelType w:val="hybridMultilevel"/>
    <w:lvl w:ilvl="0" w15:tentative="1">
      <w:start w:val="1"/>
      <w:numFmt w:val="bullet"/>
      <w:lvlText w:val="•"/>
      <w:lvlJc w:val="left"/>
      <w:pPr>
        <w:ind w:left="720" w:hanging="360"/>
      </w:pPr>
    </w:lvl>
  </w:abstractNum>
  <w:abstractNum w:abstractNumId="32" w15:restartNumberingAfterBreak="0">
    <w:multiLevelType w:val="hybridMultilevel"/>
    <w:lvl w:ilvl="0" w15:tentative="1">
      <w:start w:val="1"/>
      <w:numFmt w:val="bullet"/>
      <w:lvlText w:val="•"/>
      <w:lvlJc w:val="left"/>
      <w:pPr>
        <w:ind w:left="720" w:hanging="360"/>
      </w:pPr>
    </w:lvl>
  </w:abstractNum>
  <w:abstractNum w:abstractNumId="33" w15:restartNumberingAfterBreak="0">
    <w:multiLevelType w:val="hybridMultilevel"/>
    <w:lvl w:ilvl="0" w15:tentative="1">
      <w:start w:val="1"/>
      <w:numFmt w:val="bullet"/>
      <w:lvlText w:val="•"/>
      <w:lvlJc w:val="left"/>
      <w:pPr>
        <w:ind w:left="720" w:hanging="360"/>
      </w:pPr>
    </w:lvl>
  </w:abstractNum>
  <w:abstractNum w:abstractNumId="34" w15:restartNumberingAfterBreak="0">
    <w:multiLevelType w:val="hybridMultilevel"/>
    <w:lvl w:ilvl="0" w15:tentative="1">
      <w:start w:val="1"/>
      <w:numFmt w:val="bullet"/>
      <w:lvlText w:val="•"/>
      <w:lvlJc w:val="left"/>
      <w:pPr>
        <w:ind w:left="720" w:hanging="360"/>
      </w:pPr>
    </w:lvl>
  </w:abstractNum>
  <w:abstractNum w:abstractNumId="35" w15:restartNumberingAfterBreak="0">
    <w:multiLevelType w:val="hybridMultilevel"/>
    <w:lvl w:ilvl="0" w15:tentative="1">
      <w:start w:val="1"/>
      <w:numFmt w:val="bullet"/>
      <w:lvlText w:val="•"/>
      <w:lvlJc w:val="left"/>
      <w:pPr>
        <w:ind w:left="720" w:hanging="360"/>
      </w:pPr>
    </w:lvl>
  </w:abstractNum>
  <w:abstractNum w:abstractNumId="36" w15:restartNumberingAfterBreak="0">
    <w:multiLevelType w:val="hybridMultilevel"/>
    <w:lvl w:ilvl="0" w15:tentative="1">
      <w:start w:val="1"/>
      <w:numFmt w:val="bullet"/>
      <w:lvlText w:val="•"/>
      <w:lvlJc w:val="left"/>
      <w:pPr>
        <w:ind w:left="720" w:hanging="360"/>
      </w:pPr>
    </w:lvl>
  </w:abstractNum>
  <w:abstractNum w:abstractNumId="37" w15:restartNumberingAfterBreak="0">
    <w:multiLevelType w:val="hybridMultilevel"/>
    <w:lvl w:ilvl="0" w15:tentative="1">
      <w:start w:val="1"/>
      <w:numFmt w:val="bullet"/>
      <w:lvlText w:val="•"/>
      <w:lvlJc w:val="left"/>
      <w:pPr>
        <w:ind w:left="720" w:hanging="360"/>
      </w:pPr>
    </w:lvl>
  </w:abstractNum>
  <w:abstractNum w:abstractNumId="38" w15:restartNumberingAfterBreak="0">
    <w:multiLevelType w:val="hybridMultilevel"/>
    <w:lvl w:ilvl="0" w15:tentative="1">
      <w:start w:val="1"/>
      <w:numFmt w:val="bullet"/>
      <w:lvlText w:val="•"/>
      <w:lvlJc w:val="left"/>
      <w:pPr>
        <w:ind w:left="720" w:hanging="360"/>
      </w:pPr>
    </w:lvl>
  </w:abstractNum>
  <w:abstractNum w:abstractNumId="39" w15:restartNumberingAfterBreak="0">
    <w:multiLevelType w:val="hybridMultilevel"/>
    <w:lvl w:ilvl="0" w15:tentative="1">
      <w:start w:val="1"/>
      <w:numFmt w:val="bullet"/>
      <w:lvlText w:val="•"/>
      <w:lvlJc w:val="left"/>
      <w:pPr>
        <w:ind w:left="720" w:hanging="360"/>
      </w:pPr>
    </w:lvl>
  </w:abstractNum>
  <w:abstractNum w:abstractNumId="40" w15:restartNumberingAfterBreak="0">
    <w:multiLevelType w:val="hybridMultilevel"/>
    <w:lvl w:ilvl="0" w15:tentative="1">
      <w:start w:val="1"/>
      <w:numFmt w:val="bullet"/>
      <w:lvlText w:val="•"/>
      <w:lvlJc w:val="left"/>
      <w:pPr>
        <w:ind w:left="720" w:hanging="360"/>
      </w:pPr>
    </w:lvl>
  </w:abstractNum>
  <w:abstractNum w:abstractNumId="41" w15:restartNumberingAfterBreak="0">
    <w:multiLevelType w:val="hybridMultilevel"/>
    <w:lvl w:ilvl="0" w15:tentative="1">
      <w:start w:val="1"/>
      <w:numFmt w:val="bullet"/>
      <w:lvlText w:val="•"/>
      <w:lvlJc w:val="left"/>
      <w:pPr>
        <w:ind w:left="720" w:hanging="360"/>
      </w:pPr>
    </w:lvl>
  </w:abstractNum>
  <w:abstractNum w:abstractNumId="42" w15:restartNumberingAfterBreak="0">
    <w:multiLevelType w:val="hybridMultilevel"/>
    <w:lvl w:ilvl="0" w15:tentative="1">
      <w:start w:val="1"/>
      <w:numFmt w:val="decimal"/>
      <w:lvlText w:val="%1."/>
      <w:lvlJc w:val="left"/>
      <w:pPr>
        <w:ind w:left="720" w:hanging="360"/>
      </w:pPr>
    </w:lvl>
  </w:abstractNum>
  <w:abstractNum w:abstractNumId="43" w15:restartNumberingAfterBreak="0">
    <w:multiLevelType w:val="hybridMultilevel"/>
    <w:lvl w:ilvl="0" w15:tentative="1">
      <w:start w:val="1"/>
      <w:numFmt w:val="decimal"/>
      <w:lvlText w:val="%1."/>
      <w:lvlJc w:val="left"/>
      <w:pPr>
        <w:ind w:left="720" w:hanging="360"/>
      </w:pPr>
    </w:lvl>
  </w:abstractNum>
  <w:abstractNum w:abstractNumId="44" w15:restartNumberingAfterBreak="0">
    <w:multiLevelType w:val="hybridMultilevel"/>
    <w:lvl w:ilvl="0" w15:tentative="1">
      <w:start w:val="1"/>
      <w:numFmt w:val="decimal"/>
      <w:lvlText w:val="%1."/>
      <w:lvlJc w:val="left"/>
      <w:pPr>
        <w:ind w:left="720" w:hanging="360"/>
      </w:pPr>
    </w:lvl>
  </w:abstractNum>
  <w:abstractNum w:abstractNumId="45" w15:restartNumberingAfterBreak="0">
    <w:multiLevelType w:val="hybridMultilevel"/>
    <w:lvl w:ilvl="0" w15:tentative="1">
      <w:start w:val="1"/>
      <w:numFmt w:val="decimal"/>
      <w:lvlText w:val="%1."/>
      <w:lvlJc w:val="left"/>
      <w:pPr>
        <w:ind w:left="720" w:hanging="360"/>
      </w:pPr>
    </w:lvl>
  </w:abstractNum>
  <w:abstractNum w:abstractNumId="46" w15:restartNumberingAfterBreak="0">
    <w:multiLevelType w:val="hybridMultilevel"/>
    <w:lvl w:ilvl="0" w15:tentative="1">
      <w:start w:val="1"/>
      <w:numFmt w:val="decimal"/>
      <w:lvlText w:val="%1."/>
      <w:lvlJc w:val="left"/>
      <w:pPr>
        <w:ind w:left="720" w:hanging="360"/>
      </w:pPr>
    </w:lvl>
  </w:abstractNum>
  <w:abstractNum w:abstractNumId="47" w15:restartNumberingAfterBreak="0">
    <w:multiLevelType w:val="hybridMultilevel"/>
    <w:lvl w:ilvl="0" w15:tentative="1">
      <w:start w:val="1"/>
      <w:numFmt w:val="decimal"/>
      <w:lvlText w:val="%1."/>
      <w:lvlJc w:val="left"/>
      <w:pPr>
        <w:ind w:left="720" w:hanging="360"/>
      </w:pPr>
    </w:lvl>
  </w:abstractNum>
  <w:abstractNum w:abstractNumId="48" w15:restartNumberingAfterBreak="0">
    <w:multiLevelType w:val="hybridMultilevel"/>
    <w:lvl w:ilvl="0" w15:tentative="1">
      <w:start w:val="1"/>
      <w:numFmt w:val="decimal"/>
      <w:lvlText w:val="%1."/>
      <w:lvlJc w:val="left"/>
      <w:pPr>
        <w:ind w:left="720" w:hanging="360"/>
      </w:pPr>
    </w:lvl>
  </w:abstractNum>
  <w:abstractNum w:abstractNumId="49" w15:restartNumberingAfterBreak="0">
    <w:multiLevelType w:val="hybridMultilevel"/>
    <w:lvl w:ilvl="0" w15:tentative="1">
      <w:start w:val="1"/>
      <w:numFmt w:val="decimal"/>
      <w:lvlText w:val="%1."/>
      <w:lvlJc w:val="left"/>
      <w:pPr>
        <w:ind w:left="720" w:hanging="360"/>
      </w:pPr>
    </w:lvl>
  </w:abstractNum>
  <w:abstractNum w:abstractNumId="50" w15:restartNumberingAfterBreak="0">
    <w:multiLevelType w:val="hybridMultilevel"/>
    <w:lvl w:ilvl="0" w15:tentative="1">
      <w:start w:val="1"/>
      <w:numFmt w:val="decimal"/>
      <w:lvlText w:val="%1."/>
      <w:lvlJc w:val="left"/>
      <w:pPr>
        <w:ind w:left="720" w:hanging="360"/>
      </w:pPr>
    </w:lvl>
  </w:abstractNum>
  <w:abstractNum w:abstractNumId="51" w15:restartNumberingAfterBreak="0">
    <w:multiLevelType w:val="hybridMultilevel"/>
    <w:lvl w:ilvl="0" w15:tentative="1">
      <w:start w:val="1"/>
      <w:numFmt w:val="decimal"/>
      <w:lvlText w:val="%1."/>
      <w:lvlJc w:val="left"/>
      <w:pPr>
        <w:ind w:left="720" w:hanging="360"/>
      </w:pPr>
    </w:lvl>
  </w:abstractNum>
  <w:abstractNum w:abstractNumId="52" w15:restartNumberingAfterBreak="0">
    <w:multiLevelType w:val="hybridMultilevel"/>
    <w:lvl w:ilvl="0" w15:tentative="1">
      <w:start w:val="1"/>
      <w:numFmt w:val="decimal"/>
      <w:lvlText w:val="%1."/>
      <w:lvlJc w:val="left"/>
      <w:pPr>
        <w:ind w:left="720" w:hanging="360"/>
      </w:pPr>
    </w:lvl>
  </w:abstractNum>
  <w:abstractNum w:abstractNumId="53" w15:restartNumberingAfterBreak="0">
    <w:multiLevelType w:val="hybridMultilevel"/>
    <w:lvl w:ilvl="0" w15:tentative="1">
      <w:start w:val="1"/>
      <w:numFmt w:val="decimal"/>
      <w:lvlText w:val="%1."/>
      <w:lvlJc w:val="left"/>
      <w:pPr>
        <w:ind w:left="720" w:hanging="360"/>
      </w:pPr>
    </w:lvl>
  </w:abstractNum>
  <w:abstractNum w:abstractNumId="54" w15:restartNumberingAfterBreak="0">
    <w:multiLevelType w:val="hybridMultilevel"/>
    <w:lvl w:ilvl="0" w15:tentative="1">
      <w:start w:val="1"/>
      <w:numFmt w:val="decimal"/>
      <w:lvlText w:val="%1."/>
      <w:lvlJc w:val="left"/>
      <w:pPr>
        <w:ind w:left="720" w:hanging="360"/>
      </w:pPr>
    </w:lvl>
  </w:abstractNum>
  <w:abstractNum w:abstractNumId="55" w15:restartNumberingAfterBreak="0">
    <w:multiLevelType w:val="hybridMultilevel"/>
    <w:lvl w:ilvl="0" w15:tentative="1">
      <w:start w:val="1"/>
      <w:numFmt w:val="decimal"/>
      <w:lvlText w:val="%1."/>
      <w:lvlJc w:val="left"/>
      <w:pPr>
        <w:ind w:left="720" w:hanging="360"/>
      </w:pPr>
    </w:lvl>
  </w:abstractNum>
  <w:abstractNum w:abstractNumId="56" w15:restartNumberingAfterBreak="0">
    <w:multiLevelType w:val="hybridMultilevel"/>
    <w:lvl w:ilvl="0" w15:tentative="1">
      <w:start w:val="1"/>
      <w:numFmt w:val="decimal"/>
      <w:lvlText w:val="%1."/>
      <w:lvlJc w:val="left"/>
      <w:pPr>
        <w:ind w:left="720" w:hanging="360"/>
      </w:pPr>
    </w:lvl>
  </w:abstractNum>
  <w:abstractNum w:abstractNumId="57" w15:restartNumberingAfterBreak="0">
    <w:multiLevelType w:val="hybridMultilevel"/>
    <w:lvl w:ilvl="0" w15:tentative="1">
      <w:start w:val="1"/>
      <w:numFmt w:val="decimal"/>
      <w:lvlText w:val="%1."/>
      <w:lvlJc w:val="left"/>
      <w:pPr>
        <w:ind w:left="720" w:hanging="360"/>
      </w:pPr>
    </w:lvl>
  </w:abstractNum>
  <w:abstractNum w:abstractNumId="58" w15:restartNumberingAfterBreak="0">
    <w:multiLevelType w:val="hybridMultilevel"/>
    <w:lvl w:ilvl="0" w15:tentative="1">
      <w:start w:val="1"/>
      <w:numFmt w:val="decimal"/>
      <w:lvlText w:val="%1."/>
      <w:lvlJc w:val="left"/>
      <w:pPr>
        <w:ind w:left="720" w:hanging="360"/>
      </w:pPr>
    </w:lvl>
  </w:abstractNum>
  <w:abstractNum w:abstractNumId="59" w15:restartNumberingAfterBreak="0">
    <w:multiLevelType w:val="hybridMultilevel"/>
    <w:lvl w:ilvl="0" w15:tentative="1">
      <w:start w:val="1"/>
      <w:numFmt w:val="decimal"/>
      <w:lvlText w:val="%1."/>
      <w:lvlJc w:val="left"/>
      <w:pPr>
        <w:ind w:left="720" w:hanging="360"/>
      </w:pPr>
    </w:lvl>
  </w:abstractNum>
  <w:abstractNum w:abstractNumId="60" w15:restartNumberingAfterBreak="0">
    <w:multiLevelType w:val="hybridMultilevel"/>
    <w:lvl w:ilvl="0" w15:tentative="1">
      <w:start w:val="1"/>
      <w:numFmt w:val="decimal"/>
      <w:lvlText w:val="%1."/>
      <w:lvlJc w:val="left"/>
      <w:pPr>
        <w:ind w:left="720" w:hanging="360"/>
      </w:pPr>
    </w:lvl>
  </w:abstractNum>
  <w:abstractNum w:abstractNumId="6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42"/>
    <w:lvlOverride w:ilvl="0">
      <w:startOverride w:val="1"/>
    </w:lvlOverride>
  </w:num>
  <w:num w:numId="13">
    <w:abstractNumId w:val="43"/>
    <w:lvlOverride w:ilvl="0">
      <w:startOverride w:val="1"/>
    </w:lvlOverride>
  </w:num>
  <w:num w:numId="14">
    <w:abstractNumId w:val="44"/>
    <w:lvlOverride w:ilvl="0">
      <w:startOverride w:val="1"/>
    </w:lvlOverride>
  </w:num>
  <w:num w:numId="15">
    <w:abstractNumId w:val="45"/>
    <w:lvlOverride w:ilvl="0">
      <w:startOverride w:val="1"/>
    </w:lvlOverride>
  </w:num>
  <w:num w:numId="16">
    <w:abstractNumId w:val="46"/>
    <w:lvlOverride w:ilvl="0">
      <w:startOverride w:val="1"/>
    </w:lvlOverride>
  </w:num>
  <w:num w:numId="17">
    <w:abstractNumId w:val="12"/>
    <w:lvlOverride w:ilvl="0">
      <w:startOverride w:val="1"/>
    </w:lvlOverride>
  </w:num>
  <w:num w:numId="18">
    <w:abstractNumId w:val="13"/>
    <w:lvlOverride w:ilvl="0">
      <w:startOverride w:val="1"/>
    </w:lvlOverride>
  </w:num>
  <w:num w:numId="19">
    <w:abstractNumId w:val="4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A0F1E"/>
      <w:sz w:val="34"/>
      <w:szCs w:val="34"/>
    </w:rPr>
  </w:style>
  <w:style w:type="paragraph" w:styleId="Heading2">
    <w:name w:val="Heading 2"/>
    <w:basedOn w:val="Normal"/>
    <w:next w:val="Normal"/>
    <w:qFormat/>
    <w:pPr>
      <w:spacing w:after="160" w:before="280"/>
      <w:outlineLvl w:val="1"/>
    </w:pPr>
    <w:rPr>
      <w:rFonts w:ascii="Arial" w:cs="Arial" w:eastAsia="Arial" w:hAnsi="Arial"/>
      <w:b/>
      <w:bCs/>
      <w:color w:val="5B4BD5"/>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7556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2026-03-27T15:40:14.888Z</dcterms:created>
  <dcterms:modified xsi:type="dcterms:W3CDTF">2026-03-27T15:40:14.888Z</dcterms:modified>
</cp:coreProperties>
</file>

<file path=docProps/custom.xml><?xml version="1.0" encoding="utf-8"?>
<Properties xmlns="http://schemas.openxmlformats.org/officeDocument/2006/custom-properties" xmlns:vt="http://schemas.openxmlformats.org/officeDocument/2006/docPropsVTypes"/>
</file>