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color w:val="000000"/>
          <w:lang w:eastAsia="en-GB"/>
        </w:rPr>
      </w:pPr>
      <w:bookmarkStart w:id="0" w:name="_GoBack"/>
      <w:r w:rsidRPr="004A744E">
        <w:rPr>
          <w:rFonts w:ascii="Times New Roman" w:eastAsia="Times New Roman" w:hAnsi="Times New Roman" w:cs="Times New Roman"/>
          <w:color w:val="000000"/>
          <w:vertAlign w:val="superscript"/>
          <w:lang w:eastAsia="en-GB"/>
        </w:rPr>
        <w:t>1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Andrews, S., 2010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FastQC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: A quality control tool for high throughput sequence data.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Babraham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Bioinformatics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2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Antipov, D., A.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Korobeynikov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J. S. McLean, and P. A.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Pevzner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2016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hybridSPAdes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an algorithm for hybrid assembly of short and long reads. Bioinformatics 32: 1009–1015.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3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Bolger, A. M., M. Lohse, and B.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Usadel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2014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Trimmomatic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a flexible trimmer for Illumina sequence data. Bioinformatics 30: 2114–2120.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4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Bosi, E., B.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Donati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M.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Galardini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S. Brunetti, M.-F.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Sagot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4A744E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et al.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2015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MeDuSa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a multi-draft based scaffolder. Bioinformatics 31: 2443–2451.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5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Cantarel, B. L., P. M. Coutinho, C.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Rancurel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T. Bernard, V. Lombard </w:t>
      </w:r>
      <w:r w:rsidRPr="004A744E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et al.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2009 The Carbohydrate-Active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EnZymes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database (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CAZy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): an expert resource for 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Glycogenomics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. Nucleic Acids Res. 37: D233-8.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6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Chen, S. H., and A. S.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Yien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Ting, 2015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Biodecolorization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and biodegradation potential of recalcitrant triphenylmethane dyes by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Coriolopsis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sp. isolated from compost. J. Environ. Manage. 150: 274–280.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7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Consortium, T. U., 2019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UniProt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a worldwide hub of protein knowledge. Nucleic Acids Res. 47: D506–D515.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8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Gurevich, A., V.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Saveliev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N.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Vyahhi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and G.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Tesler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, 2013 QUAST: quality assessment tool for genome assemblies. Bioinformatics 29: 1072–1075.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9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Haghshenas, E., H.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Asghari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J.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Stoye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C.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Chauve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and F. Hach, 2020 HASLR: Fast Hybrid Assembly of Long Reads.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bioRxiv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2020.01.27.921817.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10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Mai, H., Y. Zhang, D. Li, H. C.-M. Leung, R. Luo </w:t>
      </w:r>
      <w:r w:rsidRPr="004A744E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et al.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, 2018 AC-DIAMOND v1: accelerating large-scale DNA–protein alignment. Bioinformatics 34: 3744–3746.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11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Page, A. J., C. A. Cummins, M. Hunt, V. K. Wong, S. Reuter </w:t>
      </w:r>
      <w:r w:rsidRPr="004A744E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et al.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2015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Roary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rapid large-scale prokaryote pan genome analysis. Bioinformatics 31: 3691–3693.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12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Sani, R. K., and U. C. Banerjee, 1999 Decolorization of triphenylmethane dyes and textile and dye-stuff effluent by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Kurthia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sp. Enzyme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Microb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. Technol. 24: 433–437.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13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Schwengers, O., T. Hain, T. Chakraborty, and A.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Goesmann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2019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ReferenceSeeker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: rapid determination of appropriate reference genomes.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bioRxiv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863621.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14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Seemann, T., 2014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Prokka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: rapid prokaryotic genome annotation. Bioinformatics 30: 2068–2069.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15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Simão, F. A., R. M. Waterhouse, P. Ioannidis, E. V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Kriventseva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and E. M.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Zdobnov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, 2015 BUSCO: assessing genome assembly and annotation completeness with single-copy orthologs. Bioinformatics 31: 3210–3212.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16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Wick, R. R., L. M. Judd, C. L. Gorrie, and K. E. Holt, 2017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Unicycler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: Resolving bacterial genome assemblies from short and long sequencing reads.(Research Article)(Report).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PLoS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Comput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. Biol. 13: e1005595.</w:t>
      </w:r>
    </w:p>
    <w:p w:rsidR="004A744E" w:rsidRPr="004A744E" w:rsidRDefault="004A744E" w:rsidP="004A744E">
      <w:pPr>
        <w:ind w:hanging="480"/>
        <w:rPr>
          <w:rFonts w:ascii="Times New Roman" w:eastAsia="Times New Roman" w:hAnsi="Times New Roman" w:cs="Times New Roman"/>
          <w:lang w:eastAsia="en-GB"/>
        </w:rPr>
      </w:pPr>
      <w:r w:rsidRPr="004A744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17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Zimin, A. V, G.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Marçais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D.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Puiu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M. Roberts, S. L.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Salzberg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4A744E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et al.</w:t>
      </w:r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, 2013 The </w:t>
      </w:r>
      <w:proofErr w:type="spellStart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>MaSuRCA</w:t>
      </w:r>
      <w:proofErr w:type="spellEnd"/>
      <w:r w:rsidRPr="004A744E">
        <w:rPr>
          <w:rFonts w:ascii="Times New Roman" w:eastAsia="Times New Roman" w:hAnsi="Times New Roman" w:cs="Times New Roman"/>
          <w:color w:val="000000"/>
          <w:lang w:eastAsia="en-GB"/>
        </w:rPr>
        <w:t xml:space="preserve"> genome assembler. Bioinformatics 29: 2669–2677.</w:t>
      </w:r>
    </w:p>
    <w:bookmarkEnd w:id="0"/>
    <w:p w:rsidR="004A744E" w:rsidRPr="004A744E" w:rsidRDefault="004A744E" w:rsidP="004A744E">
      <w:pPr>
        <w:rPr>
          <w:rFonts w:ascii="Times New Roman" w:eastAsia="Times New Roman" w:hAnsi="Times New Roman" w:cs="Times New Roman"/>
          <w:lang w:eastAsia="en-GB"/>
        </w:rPr>
      </w:pPr>
    </w:p>
    <w:p w:rsidR="00A339F1" w:rsidRPr="004A744E" w:rsidRDefault="00A339F1" w:rsidP="004A744E"/>
    <w:sectPr w:rsidR="00A339F1" w:rsidRPr="004A744E" w:rsidSect="00653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F1"/>
    <w:rsid w:val="004A744E"/>
    <w:rsid w:val="00653F24"/>
    <w:rsid w:val="0095355E"/>
    <w:rsid w:val="00A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C8DE"/>
  <w15:chartTrackingRefBased/>
  <w15:docId w15:val="{8F94C535-D77B-3F4D-8922-0425244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4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9ACDF-EC04-864F-AB1D-79FFA0CA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Squier</dc:creator>
  <cp:keywords/>
  <dc:description/>
  <cp:lastModifiedBy>Charlotte Squier</cp:lastModifiedBy>
  <cp:revision>1</cp:revision>
  <dcterms:created xsi:type="dcterms:W3CDTF">2020-11-08T14:58:00Z</dcterms:created>
  <dcterms:modified xsi:type="dcterms:W3CDTF">2020-11-08T15:45:00Z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http://www.zotero.org/styles/g3</vt:lpwstr>
  </property>
  <property fmtid="{D5CDD505-2E9C-101B-9397-08002B2CF9AE}" pid="13" name="Mendeley Recent Style Name 5_1">
    <vt:lpwstr>G3: Genes, Genomes, Genetics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http://www.zotero.org/styles/monash-university-harvard</vt:lpwstr>
  </property>
  <property fmtid="{D5CDD505-2E9C-101B-9397-08002B2CF9AE}" pid="19" name="Mendeley Recent Style Name 8_1">
    <vt:lpwstr>Monash University - Harvard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f1d63542-e586-3044-b6f2-d98efd8364eb</vt:lpwstr>
  </property>
  <property fmtid="{D5CDD505-2E9C-101B-9397-08002B2CF9AE}" pid="24" name="Mendeley Citation Style_1">
    <vt:lpwstr>http://www.zotero.org/styles/g3</vt:lpwstr>
  </property>
</Properties>
</file>