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Friction to Flow: Unpacking Interpersonal Dynamics in Professional Settings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Working across global, cross-functional teams has shown me that interpersonal dynamics 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critical in professional environments. Diversity enriches collaboration but also demands a deep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understanding of effective communication, conflict resolution, and feedback. This essay delves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into these essential elements, exploring strategies for building a cohesive, productive environment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that enables both individual and collective growth. Mastering these interpersonal skills enables 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bridge gaps, leverage diverse insights, and create lasting impact. In the fast-paced,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interconnected world of today’s hybrid workplaces, this discussion is crucial to achieving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sustainable team success.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Effective Communication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Communication helps build trust and motivate innovation. Open discussions facilitate honest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communication and reduce unspoken resentments, minimizing assumptions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misunderstandings and creating a more transparent and cooperative working environment.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encourages honest dialogue and reveals underlying concerns that might otherwise remain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unspoken2.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Right Questions: Clarifying, adjoining, funneling, and elevating questions guided our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team meetings.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Cultural Sensitivity: In “Follow Dubious Orders or Speak Up3”, Susan, an intern working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remotely for Seoul office, faced an ethical conflict when her manager, Mr. Moon, asked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her to gather competitor information without disclosing her affiliation with the company.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Susan recognized that directly confronting her manager might be inappropriate in Korean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business culture. She actively listened to Mr. Moon’s explanation instead of refusing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directly, then escalated her concerns to Emma, the head of the intern program.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Collaborative tools: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Our team created a priority-based task document. This workspace made progress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visible and accessible to everyone. Notion workspace is also efficient for managing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team workflows.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We had a good time using MURAL during class. It provided digital whiteboards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that are perfect for brainstorming sessions, mapping ideas, and visually organizing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information.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I also use Trello for task prioritization and visual management. It provides clarity,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accountability, which ensure everyone remains on the same page.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Ineffective Communication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As a diverse team, conflicting schedules and last-minute changes hindered our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productivity. We scheduled meetings and allowed team members to suggest alternative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times. Thanks to Mina, she introduced “When2Meet4” to determine a mutually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convenient time. We also realized it would be more efficient to plan recurring meetings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at a fixed time from Week1 to reduce repeated time coordination.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iMessage sometimes led to delayed responses. Adopting a tool with acknowledgment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features, like Slack’s reactions, could ensure that everyone is on the same page.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Based on the feedback I received; I can practice more assertive communication. I will speak up 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ensure my ideas are heard and contribute effectively to the team. Although I often bring new ideas,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there have been instances where my suggestions have veered off-topic. Given that our group has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undergone several shifts, it is essential to take meeting notes and stay aligned with our latest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decisions and priorities.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Negotiation and Conflict Resolution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Clarity and Transparency: In the “How to Rate a Colleague5” case, Nisha directly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addressed her concerns with Ben regarding his missed deadlines and clearly expressed her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expectations. Nisha kept her comments centered on his work performance rather than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personal criticisms. Open dialogue and feedback reduced the risk of “social loafing”—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unclear responsibilities can lead to disengagement. In “Protecting the Cheddar6”,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Sara openly questioned why critical systems were accessible online. She brought attention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overlooked vulnerabilities and enhanced security measures.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Flexibility and Adaptability: In the case “Can One Business Unit Have Two Revenue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Models?”, Scherr Pharmaceuticals ultimately decided to allow both revenue models 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coexist rather than forcing a merger of approaches. The company helped both departments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move past their individual conflicts, which fostered alignment and collaboration.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Focus on Shared Goals: Shared goals shift the focus from individual ownership to team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success. Team members feel less territorial and more open to exchanging insights 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resources. In a nonprofit example7, instead of each product owner feeling protective over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their own projects, they began to see their work as part of a bigger mission.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 our GoodWalks project, we encountered disagreements around defining our target user persona,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deciding whether to sell insoles, shoes, or licenses, and narrowing down the type of shoes (heels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 casual usages) to focus 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Scientific Analysis Tools: We conducted value proposition analysis and early market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validation to confirm user needs and avoid personal biases. We also used Emotional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Journey Map, the Business Model Canvas to find a unified strategic direction.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Narrow Down: We selected specific use scenarios to reduce overly broad discussions 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avoid spending time on unrelated topics.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Empathy in Conversations: Our team members are thoughtful and inclusive. We often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ask, “How do you feel about that?” to encourage reflection and disagreement, thereby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enriching deliberation. Decisions become more well-rounded and representative of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team’s collective input.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With my multicultural background, I rely on clarity, empathy, and adaptability in negotiation 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conflict resolution. I've learned different communication styles from different cultural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backgrounds. This was particularly valuable when I worked as an interpreter, where even subtle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cultural nuances could impact how objectives were interpreted.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Feedback Insights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Feedback sits at the intersection of the drive to improve and the desire for acceptance8. Feedback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involves three “realities” — the feedback giver’s perspective, the observed behavior, and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recipient's reactions. Since each person holds only two of these, feedback fills in the missing third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reality, making it a “gift” that reveals insights and reduces misunderstandings9.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Feedback helps me understand how I impact others and how I can perform better. During my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internship, I used Jira to receive ongoing feedback through task tracking. This not only organized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workflows but also fostered a proactive approach to project adjustments.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 give and receive feedback gracefully: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Timeliness: Agile development exchanges feedback frequently through short-cycle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iterations and reviews, such as daily stand-ups and sprint retrospectives, to prevent issues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accumulating.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 Ask Permission to Give Feedback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Specificity: Feedback acts like an “ uncoupled device11” . Therefore, describe what was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done rather than labeling someone’s personality or intentions12. Instead of saying, “You’re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disorganized,” say, “It would help if you could review the checklist before submitting.”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An Open, Safe Environment: Like what we did in class, everyone is asked to share 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positive observation and one area for improvement, helping reduce defensiveness. We feel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safe and prepared to share and receive feedback.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Avoid the “Feedback Sandwich”: Dilute critique by sandwiching it between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compliments can seem insincere and confuse the message. Instead, keep praise and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criticism separate.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my experiences in Amazon and Microsoft’s cross-functional, multinational teams, I have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seen the role of interpersonal dynamics in professional success. This essay highlights key insights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into effective communication, conflict resolution, and the constructive use of feedback. In the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global tech environments I've worked in, these skills prove invaluable. They enable teams 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harness varied perspectives and leverage them for innovative solutions, ultimately creating a more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adaptable work environment. Mastering these interpersonal dynamics equips us to navigate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complex global settings effectively, paving the way for meaningful impact and sustainable success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 any professional context.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Stone, Douglas, and Sheila Heen. Thanks for the Feedback: The Science and Art of Receiving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Feedback Well. Penguin Publishing Group, 2015.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LeMay, Matt. Product Management in Practice: A Real-World Guide to the Key Connective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Role of the 21st Century. O'Reilly Media, 2017.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Jug, Rachel, et al. “Giving and Receiving Effective Feedback: A Review Article and How-To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Guide.” Archives of Pathology &amp; Laboratory Medicine, vol. 143, no. 2, 2019, pp. 244-250.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Bradford, D. L. Effective Feedback and the Developmental Process. Graduate School of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Business, Stanford University, 2015.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Green Carmichael, Sarah. “Everything You Need to Know About Giving Negative Feedback.”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Harvard Business Review, 30 June 2014.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Porter, L. Effective Feedback for Mentoring. NTL Reading Book for Human Relations Training,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NTL Institute, 1982, Alexandria, VA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