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Communication, Conflict, and Constructive Feedback: Navigating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Dynamics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“Coming together is a beginning, staying together is progress, and working together is success.” I find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that this quote by business magnate Henry Ford aptly captures the essence of teamwork. While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assembling a team may seem straightforward, the true challenge lies in nurturing and sustaining 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development, where members collaborate toward a common goal despite their differences. As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essay prompt suggests, interpersonal dynamics serve as the glue that binds team members, comprising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three fundamental elements: (1) effective communication, (2) negotiation and conflict resolution,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(3) feedback mechanisms. This essay will argue that trust forms the foundation for proper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communication, shared “axioms” underpin effective problem-solving, and the integration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accountability with honesty sustains a stable feedback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teams need to delegate tasks, assign responsibilities, set timelines, or even coordinate social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engagements like team dinners, effective communication is essential. The core thread that strengthens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such communication is “trust,” defined here as confidence in another’s reliability and authenticity. Trust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 also be described as “the expectation that arises within a community of regular, honest,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cooperative behavior, based on commonly shared norms” (Norton). Delegating tasks requires mutual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trust—the belief that team members will fulfill their responsibilities and candidly express their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capacities. When setting deadlines, transparency is key for fair distribution of workload. Whether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leading a project or following another’s lead, my priority is to cultivate trust within the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Research consistently underscores the importance of trust and its benefits. High-trust organizations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report 74% less stress, 106% more energy at work, 50% higher productivity, 13% fewer sick days, 76%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more engagement, 29% greater life satisfaction, and 40% less burnout compared to their low-trust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counterparts (Lewis). Conversely, a lack of trust severely hampers team success. A Forbes survey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revealed that 61% of workers believe their employer’s lack of trust affects their job performance (Kelly).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Poor communication disrupts 42% of cross-functional collaborations, and 39% of employees 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insufficient collaboration within their teams (Clark). These statistics highlight that trust is not just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desirable trait but an essential pillar that upholds communication, engagement, and overall team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cohesion.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significance of trust is exemplified in the OpenAI leadership turmoil of November 2023. In an abrupt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dramatic series of events, CEO Sam Altman was ousted, President and Chairperson Greg Brockman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was removed from the board, and numerous engineers threatened to resign. Within a single weekend,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company cycled through multiple leadership changes, provoking outrage from partners, investors,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the public (Wiggers, 2023). Beneath the surface, the upheaval stemmed from a breakdown of trust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a lack of “candid communication,” leading to a crisis of governance and mutual suspicion. “It’s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process of trust collapsing bit by bit, like dominoes falling one by one,” one insider noted (Samuel).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absence of trust prevented Altman and the board from engaging in open dialogue, ultimately escalating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situation into public chaos. Had trust been intact, channels of communication would have allowed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constructive discussions and a peaceful resolution.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contrast, my CS 177 team showcases how communication rooted in trust can enhance collaboration.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the moment we were first assigned as a group, we prioritized building rapport. We introduced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ourselves, shared backgrounds, and ensured we sat together in the top left corner of the lecture room.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physical proximity fostered familiarity and set the stage for convenient interactions. We maintained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consistent updates through a shared WhatsApp group chat, which allowed us to coordinate tasks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effectively with minimal friction. Our communication was so efficient that we could delegate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responsibilities through a few concise texts, enabling us to work autonomously while remaining aligned.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These positive interactions, whether discussing class material or convening for last-minute Zoom calls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Monday nights, incrementally strengthened our rapport and deepened our understanding of each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other’s work styles. Each touchpoint, from clarifying doubts to refining our assignments, reinforced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trust we had in one another and facilitated efficient task management without the need for constant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oversight.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Conflict is inevitable in professional teams due to the diversity of perspectives that fuel innovation but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 also spark disagreements. While my CS 177 team has experienced minimal conflict—if any—past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experiences and future scenarios inevitably bring forth meaningful differences of opinion.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navigate conflicts effectively, I employ an approach grounded in shared “axioms,” akin to the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foundational principles of Euclidean geometry. Just as mathematicians rely on a set of accepted axioms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validate proofs, team members must agree on fundamental values to reach logical, objective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conclusions. Without such shared principles, debates devolve into fruitless disputes. Establishing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common ground helps ensure that all parties understand the logic behind differing opinions and can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diagnose any gaps in reasoning. In my experience, resolving conflicts can sometimes feel like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“debugging” a complicated computer program. While this process may take time, it often leads to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discovery of shared values and a coalescence around those principles. However, in rare cases where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shared principles cannot be found, or one party fails to understand these foundational ideas, the core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issue often reflects a lack of trust and proper communication—as discussed earlier. Thus, I’ve found that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trust should ideally be established before conflicts or negotiations take place.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But even when parties are aligned on basic principles, their arguments may still diverge and appear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incongruous. One illustrative case is the Week 2 Harvard Business School study involving Isolde and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Emanuel from a newly merged company deciding on its revenue model. Each leader argued for the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 they previously championed, leading to a clash of perspectives. Both proposals had merit 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historical success, making it difficult to choose (Bertini and Tavassoli). This scenario is akin to viewing 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cup from different angles—one side sees a circle, the other a curved rectangle.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key to resolving such conflicts is to step back, assess the shared “axioms,” and creatively synthesize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these perspectives. Creativity, in this context, involves reframing the situation and finding innovative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solutions that blend or transcend the original proposals. Bodo Eickhoff, a senior vice president at Roche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Diagnostics, argued, “Nothing’s wrong with allowing different revenue models to coexist under 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roof” (Bertini and Tavassoli), emphasizing that hybrid strategies can effectively support overarching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goals and meet diverse needs. Tech investor Eric Achtmann suggested deploying an “independent,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tangential ‘special forces’ unit” to explore unconventional approaches (Bertini and Tavassoli). Eickoff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Achtmann’s recommendations underscore the role of creative thinking in moving beyond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entrenched positions and fostering adaptability, enabling teams to see a broader picture and identify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previously overlooked opportunities.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Feedback Mechanisms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 its core, feedback acts as a catalyst for both personal and collective growth. Honesty in feedback—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even among friends—should be non-negotiable. Providing insincere praise or avoiding difficult truths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undermines team integrity and hampers development. However, concerns often arise about how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feedback might be received. Will the recipient react negatively or become offended? This is where trust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 shared foundational principles play a pivotal role. When deep mutual trust exists and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communication is open, the recipient can trust that the feedback is given with positive intent, not as 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form of denigration or undue demand. Additionally, when feedback is framed with agreed-upon,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“axiomatic” principles, the recipient can logically understand the rationale, making it easier for them 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process and implement.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notion is evident in the Week 6 Harvard Business Review case study involving Nisha, Mark, and Ben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 Ness Entertainment. Nisha faced the difficult decision of rating Ben, a friend and colleague who had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underperformed due to workload challenges, within a peer feedback system. While she empathized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with Ben’s situation, her mentor emphasized the importance of maintaining honesty and transparency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(Mayo et al.), supporting the idea that feedback should reinforce accountability and growth. Dan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Goldenberg, an executive at Activision Blizzard, noted that direct conversations should come before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formal feedback, suggesting, “problems should always be solved at the lowest possible level” (Mayo 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al.). This advice highlights that clear, constructive feedback fosters improvement without damaging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relationships.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 own experience mirrors these lessons. Early in my computer science career as a student, I struggled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explain complex technical concepts to non-technical audiences, which often led to feedback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indicating that my explanations were too detailed and difficult to follow. This careful feedback pushed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 to engage in exercises focused on concision, such as summarizing intricate topics within two pages,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which greatly improved my ability to communicate effectively and made me more receptive to feedback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I could see its positive impact on my skills and team collaboration. As I continue with my career, 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strive to apply these insights consistently and encourage others to also embrace feedback as a tool for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growth.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When giving feedback, it is crucial to balance honesty with empathy, ensuring that critiques are paired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with actionable insights. Aiko Bethea's perspective from the HBR case study spotlights this approach,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warning that enabling poor performance weakens team dynamics and advocating for direct, meaningful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feedback. Bethea noted, “Sometimes we give people a pass...but this doesn’t seem to be the case with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Ben” (Mayo et al.), reinforcing the tenet that maintaining integrity in feedback is essential to promoting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trust and sustainable team development.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 believe and have witnessed that adhering to a principle of forthrightness when giving and receiving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feedback breeds resilience and creates a culture where team members feel valued and empowered 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grow. In addition, trusting that feedback is shared with positive intent ensures that teams can navigate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challenges effectively and maintain high standards of collaboration.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While these frameworks for communication, negotiation, and feedback are invaluable, challenges 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exceptions will always persist. Trust must be earned, and individuals who act irrationally or refuse 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engage constructively can derail even the most well-intentioned teams. Moreover, feedback, despite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being shared with the best intentions, can sometimes result in misunderstandings or unintended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consequences.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Recapping my key insights: effective communication is built on trust, negotiation thrives on shared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foundational principles, and feedback must be both honest and empathetic. Mastering these skills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enables team members to handle complex dynamics confidently. While it is impossible to control how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others behave, developing strong interpersonal skills ensures that one can be a dependable and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effective contributor. No framework can account for every situation, as real-world interactions often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resist simple categorization. However, each team’s pursuit of refining these interpersonal dynamics is an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ongoing process that strengthens their collective resilience. Through the dedication of these practices,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teams can transform challenges into opportunities for growth and shared success.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Bertini, Marco, and Nader Tavassoli. “Case Study: Can One Business Unit Have 2 Revenue Models?”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Harvard Business Review, Mar. 2015, https://hbr.org/2014/12/case-study-can-one-business-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unit-have-2-revenue-models.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Clark, Jennifer. “32 Statistics About Collaboration in the Workplace (2024).” Zoom, 16 May 2024,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https://www.zoom.com/en/blog/workplace-collaboration-statistics/.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Kelly, Jack. “The Trust Gap Between Employers And Workers.” Forbes, 12 Mar. 2024,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https://www.forbes.com/sites/jackkelly/2024/03/12/the-trust-gap-between-employers-and-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workers/.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Lewis, Abbey. “How Leaders Build Trust.” Harvard Business Publishing, 26 Oct. 2022,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https://www.harvardbusiness.org/good-leadership-it-all-starts-with-trust/.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Mayo, Anthony, et al. “Case Study: Give Your Colleague the Rating He Deserves—or the One He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Wants?” Harvard Business Review, Feb. 2020, https://hbr.org/2020/01/case-study-give-your-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colleague-the-rating-he-deserves-or-the-one-he-wants.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Norton, Andrew. “Filling the 20 Per Cent Gap: Francis Fukuyama on Trust and Social Capital.”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Agenda: A Journal of Policy Analysis and Reform, edited by Francis Fukuyama, vol. 3, no. 3,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1996, pp. 351–58.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Samuel, Siyal. “Why the OpenAI Superalignment Team in Charge of AI Safety Imploded | Vox.” Vox,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18 May 2024, https://www.vox.com/future-perfect/2024/5/17/24158403/openai-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resignations-ai-safety-ilya-sutskever-jan-leike-artificial-intelligence.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Wiggers, Kyle. “A Timeline of Sam Altman’s Firing from OpenAI -- and the Fallout.” TechCrunch,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Jan. 2024, https://techcrunch.com/2024/01/05/a-timeline-of-sam-altmans-firing-from-openai-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and-the-fallout/.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---. “Sam Altman Ousted as OpenAI’s CEO.” TechCrunch, 17 Nov. 2023,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https://techcrunch.com/2023/11/17/sam-altman-is-out-as-openais-ceo/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