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makes working in teams hard and how do we mitigate these problems?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I was in 9th grade, my maths teacher wrote the following geometric formula 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whiteboard: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𝑛(𝑛 − 1)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 outlined how this expression represents the total number of possible connections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between the $n$ points of a shape. Before moving on, he stopped. “This equation can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 be used to describe the number of relationships that exist between $n$ people.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example, in a group of six people there are fifteen distinct relationships in a group.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That’s a lot of individual relationships you have to manage.” To this day, this formula has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remained imprinted on my mind, becoming increasingly relevant as I joined working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groups at school and in my career. There is a litany of relationships that need to 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maintained and tended to, to ensure a team functions at its best. Often, a single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fractious relationship can tear an entire team apart. The moral of the story: working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teams is tough. In this essay, I aim to outline some of the many complexities that arise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working in teams, and the numerous methods that can be used to improve these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complicated situations. My arguments in this paper will centre around three distinct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mitigation strategies: effective communication, negotiation and conflict resolution,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feedback mechanisms. By closely analysing these methods, I hope to shed some light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the numerous ways in which we can make working in teams more manageable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less stressful for all those involved.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Effective communication is perhaps the most paramount of the three mitigation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strategies, as it usually precedes negotiation (conflict resolution) and feedback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mechanisms in the conflict timeline. While communicating with other individuals may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seem like an inherent thing for some humans—requiring just a small amount of honesty,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transparency, and proactivity—it is often the thing that individuals struggle with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most in interpersonal settings. A primary reason for this is, in my opinion, the ”Illusion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Transparency,” a theory in social psychology in which people “overestimate the degree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which their thoughts and emotions are apparent to others.” In many interpersonal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situations, we operate under the assumption that others intuitively understand 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thoughts and states of mind, and we expect them to act accordingly. Unfortunately, this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 not always the case. Humans are not telepathic, and as team members, it is crucial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that we learn to express our thoughts and feelings more explicitly, otherwise we may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 up unintentionally contributing to these complex and difficult interactions. 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enhance our capacity for effective communication, we can begin by actively listening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our colleagues, clearly defining expectations for each team member on a project, 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ensuring that we hold regular check-ins to maintain accountability. The importance of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these practices becomes evident when examining real-life scenarios in which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communication either strengthens or breaks down team relations.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good illustration of this dynamic is found in Mayo, Margolis, and Gallo’s Give Your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Colleague the Rating He Deserves—or the One He Wants. In this case study, Nisha 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working on a project with two colleagues at the gaming company Ness Entertainment.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 one colleague, Mark, is punctual, organised, and hard-working, the other, Ben, 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unreliable and unengaged, often leaving Nisha to shoulder more than her share of work.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frustrates Nisha, and although the onus ultimately lies on Ben to improve his work-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ethic, Nisha fails to communicate how his lack of commitment has affected her.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Instead, she expresses her dissatisfaction through non-verbal cues, such as her tone of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voice or body language. This miscommunication leaves Ben unaware of the extent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which his behaviour has affected his colleagues and causes the team to break down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completely. Yet, this situation is fairly easy to ameliorate: if Nisha were to take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moment to directly address Ben’s lack of commitment, highlighting the impact it has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had on the team and recommending steps he could take to improve, it could prevent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issue from escalating into a formal HR matter. This is just one example of many that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highlights the importance of effective communication in the workplace. However, when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direct communication fails, individuals may need to rely on another type of mitigation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strategy—negotiation and conflict resolution.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main strategy that I use to negotiate with colleagues and resolve conflicts 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interest-based bargaining (IBB), which, according to the Federal Mediation &amp;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Conciliation Service (FMCS) is “a collaborative approach to resolving labor 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management disputes.” Essentially, IBB focuses on the underlying interests of each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party involved in the conflict rather than their specific grievances. Through this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approach, individuals become less fixated on their own rigid solutions and instead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highlight their core needs, allowing a third-party mediator to potentially come in 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identify how a common goal between both parties can be found. I believe this method 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positive way of resolving disputes, as each individual must listen to the needs of the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other individual and empathise with them on a deeper level, rather than going back 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forth in a “tit-for-tat” manner over who can achieve a solution in the “best way” possible.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With its methods rooted in values like collaboration, empathy, and transparency, I tend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use this approach the most when I am resolving conflicts with individuals at school 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 my professional career.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Throughout my internship, I used IBB in order to diffuse tense situations with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colleagues. For example, I recently sat down with a colleague who believed we should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 no-code tools to complete a project instead of a coding language like Python.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Disagreeing with this approach, we got into a small argument, and I asked him why he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really wanted to use no-code tools over a scripting language. He told me directly that he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wanted to be able to contribute to the project but was struggling to find the time to learn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coding language. I didn’t know he was under significant time pressure, and although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 preference was to complete the project with a coding language, I understood that, 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interest of the team, it may be best to use a no-code tool. Had I not used this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method of negotiation with my colleague, it may have erupted into a bigger issue with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strong, acrimonious feelings on both sides.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When giving feedback, I like using non-violent communication (NVC), which is “a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method for communicating about areas of friction,” and the OFNR (Observation,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Feelings, Needs, and Request) method. These are personal favourites of mine that 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learned about in “CS 247A: Design for Artificial Intelligence,” as it provides a clear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structure for how to respond to difficult interactions by focussing on values like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curiosity, empathy, and openness, rather than judgement, blame, and anger.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Oftentimes, conflicts arise due to a psychological phenomenon known as the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“Fundamental Attribution Error (FAE),” which is a cognitive bias referring to 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“individual's tendency to attribute another's actions to their character or personality,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while attributing their behaviour to external situational factors outside of their control.”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 individual’s FAE can often cause them to blame others’ incompetencies on personal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factors, while neglecting situational factors that may often play a role. To combat the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negative outcomes of FAE in the workplace, I utilise the OFNR approach, in which we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attempt to resolve a conflict by describing how the other person’s behaviour has made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you feel, rather than accusing the other individual of falling short.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Recently, I was working in a group project where a teammate failed to submit their work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 time. Instead of blaming my teammate for missing deadlines, I used the OFNR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approach. I told them I’d noticed their struggle to submit on time, which was stressing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 about our deadlines. I then asked them to let me know if they needed extra support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during busy periods and to be more transparent in the future. This worked well; my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teammate was apologetic and explained they’d been swamped with midterms and 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family issue. By taking an empathetic and transparent approach with my teammate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instead of a critical one, I was able to improve the situation without having to escalate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matter to our TAs or the teacher. When practised in the right way, negotiation and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conflict resolution can be a fantastic remedy for negative situations in the workplace,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allowing individuals to resolve issues at an early level without the need for it rise higher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up the chain-of-command.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Overall, I believe there are a variety of different ways in which an individual can explore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interpersonal dynamics in professional environments, including effective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communication, negotiation and conflict resolution, and feedback insights. While these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three mitigation strategies should be staple ways of communicating across the board, 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believe that the methods used to successfully incorporate these techniques can vary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person-to-person. For me personally, I like to use non-violent communication,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interest-based bargaining, and the OFNR approach in order to successfully navigate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difficult situations in the workplace. With a concerted effort from all parties,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interpersonal communication in a professional environment can transform from 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source of tension to an opportunity for growth and collaboration.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 “Illusion of Transparency: Why You’re Not as Obvious as You Think.”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Effectiviology, https://effectiviology.com/illusion-of-transparency/. Accessed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[11/05/2024].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Gallo, Amy, Joshua D. Margolis, and Anthony J. Mayo. “Case Study: Give Your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Colleague the Rating He Deserves—or the One He Wants.” Harvard Business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Review, 30 Jan. 2020, https://hbr.org/2020/01/case-study-give-your-colleague-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the-rating-he-deserves-or-the-one-he-wants. Accessed [11/05/2024].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Interest-Based Bargaining: A Collaborative Approach to Resolving Labor-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Management Disputes. Federal Mediation and Conciliation Service,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https://www.fmcs.gov/wp-content/uploads/2019/03/Interest-Based-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Bargaining.pdf. Accessed [11/05/2024].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“Conflict Resolution Strategies.” Program on Negotiation, Harvard Law School,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https://www.pon.harvard.edu/daily/conflict-resolution/conflict-resolution-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strategies/. Accessed [11/05/2024].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• Finch, Mike. “We Need to Talk: 4 Steps to Resolve Conflict.” Finch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Communications, 13 Nov. 2019, https://www.finchcommunications.com/we-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need-to-talk-4-steps-to-resolve-conflict/. Accessed [11/05/2024].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“Fundamental Attribution Error: How Perceptions Impact Relationships.”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Harvard Business School Online, https://online.hbs.edu/blog/post/the-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fundamental-attribution-error. Accessed [11/05/2024].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