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240" w:after="48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44"/>
        </w:rPr>
        <w:t>某高校校园快递服务站运营服务方案（开源版示例）</w:t>
      </w:r>
    </w:p>
    <w:p>
      <w:pPr>
        <w:spacing w:before="120" w:after="2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────────────────────────────────────────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32"/>
        </w:rPr>
        <w:t>投标人：（示例投标单位，脱敏）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日期：2026-08</w:t>
      </w:r>
    </w:p>
    <w:p>
      <w:r>
        <w:br w:type="page"/>
      </w:r>
    </w:p>
    <w:p>
      <w:pPr>
        <w:spacing w:before="120" w:after="24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目 录</w:t>
      </w:r>
    </w:p>
    <w:p>
      <w:pPr>
        <w:spacing w:before="0" w:after="0" w:line="360" w:lineRule="auto"/>
      </w:pPr>
      <w:r>
        <w:fldChar w:fldCharType="begin"/>
        <w:instrText xml:space="preserve"> TOC \\o "1-3" \\h \\z \\u </w:instrText>
        <w:fldChar w:fldCharType="end"/>
      </w:r>
      <w:r>
        <w:rPr>
          <w:color w:val="CCCCCC"/>
        </w:rPr>
        <w:t>右键此处选择"更新域"以生成目录</w:t>
      </w:r>
    </w:p>
    <w:p>
      <w:pPr>
        <w:sectPr>
          <w:pgSz w:w="11906" w:h="16838"/>
          <w:pgMar w:top="1417" w:right="1134" w:bottom="1134" w:left="1134" w:header="850" w:footer="992" w:gutter="0"/>
          <w:cols w:space="720"/>
          <w:docGrid w:linePitch="360"/>
        </w:sectPr>
      </w:pPr>
    </w:p>
    <w:p>
      <w:pPr>
        <w:pStyle w:val="Heading1"/>
        <w:numPr>
          <w:ilvl w:val="0"/>
          <w:numId w:val="10"/>
        </w:numPr>
        <w:spacing w:before="240" w:after="240" w:line="360" w:lineRule="auto"/>
      </w:pPr>
      <w:r>
        <w:rPr>
          <w:rFonts w:ascii="Times New Roman" w:hAnsi="Times New Roman" w:eastAsia="宋体"/>
          <w:b/>
          <w:color w:val="000000"/>
          <w:sz w:val="44"/>
        </w:rPr>
        <w:t>项目总体理解与服务定位</w:t>
      </w:r>
    </w:p>
    <w:p>
      <w:pPr>
        <w:pStyle w:val="Heading2"/>
        <w:numPr>
          <w:ilvl w:val="1"/>
          <w:numId w:val="10"/>
        </w:numPr>
        <w:spacing w:before="240" w:after="240" w:line="360" w:lineRule="auto"/>
      </w:pPr>
      <w:r>
        <w:rPr>
          <w:rFonts w:ascii="Times New Roman" w:hAnsi="Times New Roman" w:eastAsia="宋体"/>
          <w:b/>
          <w:color w:val="000000"/>
          <w:sz w:val="36"/>
        </w:rPr>
        <w:t>项目需求理解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本项目为校园快递服务用房运营，须配合校方后勤与保卫部门建立规范化、可追溯运营体系。</w:t>
      </w:r>
    </w:p>
    <w:p>
      <w:pPr>
        <w:pStyle w:val="Heading2"/>
        <w:numPr>
          <w:ilvl w:val="1"/>
          <w:numId w:val="10"/>
        </w:numPr>
        <w:spacing w:before="240" w:after="240" w:line="360" w:lineRule="auto"/>
      </w:pPr>
      <w:r>
        <w:rPr>
          <w:rFonts w:ascii="Times New Roman" w:hAnsi="Times New Roman" w:eastAsia="宋体"/>
          <w:b/>
          <w:color w:val="000000"/>
          <w:sz w:val="36"/>
        </w:rPr>
        <w:t>服务定位与目标</w:t>
      </w:r>
    </w:p>
    <w:p>
      <w:pPr>
        <w:pStyle w:val="Heading3"/>
        <w:numPr>
          <w:ilvl w:val="2"/>
          <w:numId w:val="10"/>
        </w:numPr>
        <w:spacing w:before="240" w:after="240" w:line="360" w:lineRule="auto"/>
      </w:pPr>
      <w:r>
        <w:rPr>
          <w:rFonts w:ascii="Times New Roman" w:hAnsi="Times New Roman" w:eastAsia="宋体"/>
          <w:b/>
          <w:color w:val="000000"/>
          <w:sz w:val="32"/>
        </w:rPr>
        <w:t>服务定位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以师生为中心，提供安全便捷规范的末端服务，融入智慧化调度与绿色化运营。</w:t>
      </w:r>
    </w:p>
    <w:p>
      <w:pPr>
        <w:pStyle w:val="Heading3"/>
        <w:numPr>
          <w:ilvl w:val="2"/>
          <w:numId w:val="10"/>
        </w:numPr>
        <w:spacing w:before="240" w:after="240" w:line="360" w:lineRule="auto"/>
      </w:pPr>
      <w:r>
        <w:rPr>
          <w:rFonts w:ascii="Times New Roman" w:hAnsi="Times New Roman" w:eastAsia="宋体"/>
          <w:b/>
          <w:color w:val="000000"/>
          <w:sz w:val="32"/>
        </w:rPr>
        <w:t>服务目标</w:t>
      </w:r>
    </w:p>
    <w:p>
      <w:pPr>
        <w:spacing w:before="120" w:after="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表1-1 服务目标一览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目标维度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达成时限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</w:t>
            </w:r>
          </w:p>
        </w:tc>
      </w:tr>
      <w:tr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时效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高峰取件等待≤8分钟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运营首月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现场主管</w:t>
            </w:r>
          </w:p>
        </w:tc>
      </w:tr>
      <w:tr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安全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责任事故为零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全周期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安全管理员</w:t>
            </w:r>
          </w:p>
        </w:tc>
      </w:tr>
      <w:tr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满意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师生满意度≥90%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每季度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项目负责人</w:t>
            </w:r>
          </w:p>
        </w:tc>
      </w:tr>
      <w:tr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绿色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包装减塑≥30%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半年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运营班组</w:t>
            </w:r>
          </w:p>
        </w:tc>
      </w:tr>
    </w:tbl>
    <w:p>
      <w:pPr>
        <w:pStyle w:val="Heading1"/>
        <w:pageBreakBefore/>
        <w:numPr>
          <w:ilvl w:val="0"/>
          <w:numId w:val="10"/>
        </w:numPr>
        <w:spacing w:before="240" w:after="240" w:line="360" w:lineRule="auto"/>
      </w:pPr>
      <w:r>
        <w:rPr>
          <w:rFonts w:ascii="Times New Roman" w:hAnsi="Times New Roman" w:eastAsia="宋体"/>
          <w:b/>
          <w:color w:val="000000"/>
          <w:sz w:val="44"/>
        </w:rPr>
        <w:t>运营组织实施方案</w:t>
      </w:r>
    </w:p>
    <w:p>
      <w:pPr>
        <w:pStyle w:val="Heading2"/>
        <w:numPr>
          <w:ilvl w:val="1"/>
          <w:numId w:val="10"/>
        </w:numPr>
        <w:spacing w:before="240" w:after="240" w:line="360" w:lineRule="auto"/>
      </w:pPr>
      <w:r>
        <w:rPr>
          <w:rFonts w:ascii="Times New Roman" w:hAnsi="Times New Roman" w:eastAsia="宋体"/>
          <w:b/>
          <w:color w:val="000000"/>
          <w:sz w:val="36"/>
        </w:rPr>
        <w:t>组织架构</w:t>
      </w:r>
    </w:p>
    <w:p>
      <w:pPr>
        <w:pStyle w:val="Heading3"/>
        <w:numPr>
          <w:ilvl w:val="2"/>
          <w:numId w:val="10"/>
        </w:numPr>
        <w:spacing w:before="240" w:after="240" w:line="360" w:lineRule="auto"/>
      </w:pPr>
      <w:r>
        <w:rPr>
          <w:rFonts w:ascii="Times New Roman" w:hAnsi="Times New Roman" w:eastAsia="宋体"/>
          <w:b/>
          <w:color w:val="000000"/>
          <w:sz w:val="32"/>
        </w:rPr>
        <w:t>三级管理架构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设“项目负责人—现场主管—班组”三级架构，责权清晰、闭环管理。</w:t>
      </w:r>
    </w:p>
    <w:p>
      <w:pPr>
        <w:spacing w:before="120" w:after="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表2-1 三级管理架构职责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层级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岗位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核心职责</w:t>
            </w:r>
          </w:p>
        </w:tc>
      </w:tr>
      <w:tr>
        <w:tc>
          <w:tcPr>
            <w:tcW w:type="dxa" w:w="3213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决策</w:t>
            </w:r>
          </w:p>
        </w:tc>
        <w:tc>
          <w:tcPr>
            <w:tcW w:type="dxa" w:w="3213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项目负责人</w:t>
            </w:r>
          </w:p>
        </w:tc>
        <w:tc>
          <w:tcPr>
            <w:tcW w:type="dxa" w:w="3213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统筹规划、对外协调、履约第一责任人</w:t>
            </w:r>
          </w:p>
        </w:tc>
      </w:tr>
      <w:tr>
        <w:tc>
          <w:tcPr>
            <w:tcW w:type="dxa" w:w="3213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管理</w:t>
            </w:r>
          </w:p>
        </w:tc>
        <w:tc>
          <w:tcPr>
            <w:tcW w:type="dxa" w:w="3213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现场主管</w:t>
            </w:r>
          </w:p>
        </w:tc>
        <w:tc>
          <w:tcPr>
            <w:tcW w:type="dxa" w:w="3213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日常运营、人员排班、整改闭环</w:t>
            </w:r>
          </w:p>
        </w:tc>
      </w:tr>
      <w:tr>
        <w:tc>
          <w:tcPr>
            <w:tcW w:type="dxa" w:w="3213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执行</w:t>
            </w:r>
          </w:p>
        </w:tc>
        <w:tc>
          <w:tcPr>
            <w:tcW w:type="dxa" w:w="3213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运营班组</w:t>
            </w:r>
          </w:p>
        </w:tc>
        <w:tc>
          <w:tcPr>
            <w:tcW w:type="dxa" w:w="3213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收派、客服、巡检、台账</w:t>
            </w:r>
          </w:p>
        </w:tc>
      </w:tr>
    </w:tbl>
    <w:p>
      <w:pPr>
        <w:pStyle w:val="Heading2"/>
        <w:numPr>
          <w:ilvl w:val="1"/>
          <w:numId w:val="10"/>
        </w:numPr>
        <w:spacing w:before="240" w:after="240" w:line="360" w:lineRule="auto"/>
      </w:pPr>
      <w:r>
        <w:rPr>
          <w:rFonts w:ascii="Times New Roman" w:hAnsi="Times New Roman" w:eastAsia="宋体"/>
          <w:b/>
          <w:color w:val="000000"/>
          <w:sz w:val="36"/>
        </w:rPr>
        <w:t>人员配置与培训</w:t>
      </w:r>
    </w:p>
    <w:p>
      <w:pPr>
        <w:pStyle w:val="Heading3"/>
        <w:numPr>
          <w:ilvl w:val="2"/>
          <w:numId w:val="10"/>
        </w:numPr>
        <w:spacing w:before="240" w:after="240" w:line="360" w:lineRule="auto"/>
      </w:pPr>
      <w:r>
        <w:rPr>
          <w:rFonts w:ascii="Times New Roman" w:hAnsi="Times New Roman" w:eastAsia="宋体"/>
          <w:b/>
          <w:color w:val="000000"/>
          <w:sz w:val="32"/>
        </w:rPr>
        <w:t>人员配置</w:t>
      </w:r>
    </w:p>
    <w:p>
      <w:pPr>
        <w:spacing w:before="120" w:after="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表2-2 人员配置表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岗位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人数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资质要求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排班</w:t>
            </w:r>
          </w:p>
        </w:tc>
      </w:tr>
      <w:tr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现场主管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1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管理经验+安全培训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常日</w:t>
            </w:r>
          </w:p>
        </w:tc>
      </w:tr>
      <w:tr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收派员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4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岗前培训合格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峰谷动态</w:t>
            </w:r>
          </w:p>
        </w:tc>
      </w:tr>
      <w:tr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客服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1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沟通培训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常日</w:t>
            </w:r>
          </w:p>
        </w:tc>
      </w:tr>
      <w:tr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巡检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1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安全持证</w:t>
            </w:r>
          </w:p>
        </w:tc>
        <w:tc>
          <w:tcPr>
            <w:tcW w:type="dxa" w:w="2409"/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0000"/>
                <w:sz w:val="21"/>
              </w:rPr>
              <w:t>轮值</w:t>
            </w:r>
          </w:p>
        </w:tc>
      </w:tr>
    </w:tbl>
    <w:p>
      <w:pPr>
        <w:pStyle w:val="Heading3"/>
        <w:numPr>
          <w:ilvl w:val="2"/>
          <w:numId w:val="10"/>
        </w:numPr>
        <w:spacing w:before="240" w:after="240" w:line="360" w:lineRule="auto"/>
      </w:pPr>
      <w:r>
        <w:rPr>
          <w:rFonts w:ascii="Times New Roman" w:hAnsi="Times New Roman" w:eastAsia="宋体"/>
          <w:b/>
          <w:color w:val="000000"/>
          <w:sz w:val="32"/>
        </w:rPr>
        <w:t>培训与考核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 入职培训：制度、安全、服务规范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 月度安全例会：案例复盘与预警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 季度技能演练：消防与应急实操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 考核挂钩：满意度与零事故纳入绩效</w:t>
      </w:r>
    </w:p>
    <w:p>
      <w:pPr>
        <w:pStyle w:val="Heading2"/>
        <w:numPr>
          <w:ilvl w:val="1"/>
          <w:numId w:val="10"/>
        </w:numPr>
        <w:spacing w:before="240" w:after="240" w:line="360" w:lineRule="auto"/>
      </w:pPr>
      <w:r>
        <w:rPr>
          <w:rFonts w:ascii="Times New Roman" w:hAnsi="Times New Roman" w:eastAsia="宋体"/>
          <w:b/>
          <w:color w:val="000000"/>
          <w:sz w:val="36"/>
        </w:rPr>
        <w:t>重点区域与设备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服务站按收寄、暂存、取件、办公四区布置，关键通道设监控与消防点位。</w:t>
      </w:r>
    </w:p>
    <w:p>
      <w:pPr>
        <w:spacing w:before="120" w:after="0" w:line="360" w:lineRule="auto"/>
      </w:pPr>
    </w:p>
    <w:p>
      <w:pPr>
        <w:jc w:val="center"/>
      </w:pPr>
      <w:r>
        <w:rPr>
          <w:color w:val="CCCCCC"/>
          <w:sz w:val="21"/>
        </w:rPr>
        <w:t>【此处为占位图，请替换为实际截图】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图2-1 图1 服务站平面与监控布局示意（示例占位，待插图）</w:t>
      </w:r>
    </w:p>
    <w:sectPr w:rsidR="00FC693F" w:rsidRPr="0006063C" w:rsidSect="00034616">
      <w:footerReference w:type="default" r:id="rId9"/>
      <w:pgSz w:w="11906" w:h="16838"/>
      <w:pgMar w:top="1417" w:right="1134" w:bottom="1134" w:left="1134" w:header="850" w:footer="99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chineseCounting"/>
      <w:lvlText w:val="第%1章"/>
      <w:lvlJc w:val="left"/>
      <w:pPr>
        <w:ind w:left="0" w:hanging="0"/>
      </w:pPr>
    </w:lvl>
    <w:lvl w:ilvl="1">
      <w:start w:val="1"/>
      <w:numFmt w:val="chineseCounting"/>
      <w:lvlText w:val="%2、"/>
      <w:lvlJc w:val="left"/>
      <w:pPr>
        <w:ind w:left="0" w:hanging="0"/>
      </w:pPr>
    </w:lvl>
    <w:lvl w:ilvl="2">
      <w:start w:val="1"/>
      <w:numFmt w:val="chineseCounting"/>
      <w:lvlText w:val="（%3）"/>
      <w:lvlJc w:val="left"/>
      <w:pPr>
        <w:ind w:left="0" w:hanging="0"/>
      </w:pPr>
    </w:lvl>
    <w:lvl w:ilvl="3">
      <w:start w:val="1"/>
      <w:numFmt w:val="decimal"/>
      <w:lvlText w:val="%4、"/>
      <w:lvlJc w:val="left"/>
      <w:pPr>
        <w:ind w:left="0" w:hanging="0"/>
      </w:pPr>
    </w:lvl>
    <w:lvl w:ilvl="4">
      <w:start w:val="1"/>
      <w:numFmt w:val="decimal"/>
      <w:lvlText w:val="%4.%5"/>
      <w:lvlJc w:val="left"/>
      <w:pPr>
        <w:ind w:left="0" w:hanging="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