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35FF8" w14:textId="77777777" w:rsidR="005B3F0C" w:rsidRDefault="00000000">
      <w:pPr>
        <w:spacing w:after="80"/>
      </w:pPr>
      <w:r>
        <w:rPr>
          <w:rFonts w:ascii="Calibri" w:hAnsi="Calibri"/>
          <w:b/>
          <w:color w:val="0F172A"/>
          <w:sz w:val="40"/>
        </w:rPr>
        <w:t>Flujo del Proceso: Gestion de Apelaciones - DGNNA</w:t>
      </w:r>
    </w:p>
    <w:p w14:paraId="39A5BA1C" w14:textId="77777777" w:rsidR="005B3F0C" w:rsidRDefault="00000000">
      <w:pPr>
        <w:spacing w:after="280"/>
      </w:pPr>
      <w:r>
        <w:rPr>
          <w:rFonts w:ascii="Calibri" w:hAnsi="Calibri"/>
          <w:i/>
          <w:color w:val="64748B"/>
        </w:rPr>
        <w:t>Direccion General de Ninas, Ninos y Adolescentes (DGNNA) - MIMP</w:t>
      </w:r>
    </w:p>
    <w:p w14:paraId="25E19851" w14:textId="77777777" w:rsidR="005B3F0C" w:rsidRDefault="00000000">
      <w:pPr>
        <w:spacing w:after="320"/>
      </w:pPr>
      <w:r>
        <w:rPr>
          <w:rFonts w:ascii="Calibri" w:hAnsi="Calibri"/>
        </w:rPr>
        <w:t>El presente documento describe el flujo procedimental oficial para la tramitacion de los recursos de apelacion en segunda instancia administrativa dentro de la DGNNA. Se fundamenta en la metodologia BPMN con carriles (swimlanes) por actor institucional, asegurando la trazabilidad de los expedientes fisicos y digitales a traves del Sistema de Gestion Documental (SGD).</w:t>
      </w:r>
    </w:p>
    <w:p w14:paraId="5A9D3497" w14:textId="77777777" w:rsidR="005B3F0C" w:rsidRDefault="00000000">
      <w:pPr>
        <w:spacing w:before="240" w:after="160"/>
      </w:pPr>
      <w:r>
        <w:rPr>
          <w:rFonts w:ascii="Calibri" w:hAnsi="Calibri"/>
          <w:b/>
          <w:color w:val="0284C7"/>
          <w:sz w:val="28"/>
        </w:rPr>
        <w:t>1. Diagrama de Flujo del Proceso (BPMN / Swimlanes)</w:t>
      </w:r>
    </w:p>
    <w:p w14:paraId="5BF7648A" w14:textId="77777777" w:rsidR="005B3F0C" w:rsidRDefault="00000000">
      <w:pPr>
        <w:spacing w:before="120" w:after="80"/>
        <w:jc w:val="center"/>
      </w:pPr>
      <w:r>
        <w:rPr>
          <w:noProof/>
        </w:rPr>
        <w:drawing>
          <wp:inline distT="0" distB="0" distL="0" distR="0" wp14:anchorId="267A8AE5" wp14:editId="462F3E7F">
            <wp:extent cx="5943600" cy="44867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8816223816.png"/>
                    <pic:cNvPicPr/>
                  </pic:nvPicPr>
                  <pic:blipFill>
                    <a:blip r:embed="rId6"/>
                    <a:stretch>
                      <a:fillRect/>
                    </a:stretch>
                  </pic:blipFill>
                  <pic:spPr>
                    <a:xfrm>
                      <a:off x="0" y="0"/>
                      <a:ext cx="5943600" cy="4486721"/>
                    </a:xfrm>
                    <a:prstGeom prst="rect">
                      <a:avLst/>
                    </a:prstGeom>
                  </pic:spPr>
                </pic:pic>
              </a:graphicData>
            </a:graphic>
          </wp:inline>
        </w:drawing>
      </w:r>
    </w:p>
    <w:p w14:paraId="3CD8DA40" w14:textId="77777777" w:rsidR="005B3F0C" w:rsidRDefault="00000000">
      <w:pPr>
        <w:spacing w:after="360"/>
        <w:jc w:val="center"/>
      </w:pPr>
      <w:r>
        <w:rPr>
          <w:rFonts w:ascii="Calibri" w:hAnsi="Calibri"/>
          <w:i/>
          <w:color w:val="64748B"/>
          <w:sz w:val="18"/>
        </w:rPr>
        <w:t>Figura 1: Diagrama de Flujo en Bizagi Modeler - Gestion de Apelaciones DGNNA</w:t>
      </w:r>
    </w:p>
    <w:p w14:paraId="6639941A" w14:textId="77777777" w:rsidR="005B3F0C" w:rsidRDefault="00000000">
      <w:pPr>
        <w:spacing w:before="280" w:after="160"/>
      </w:pPr>
      <w:r>
        <w:rPr>
          <w:rFonts w:ascii="Calibri" w:hAnsi="Calibri"/>
          <w:b/>
          <w:color w:val="0284C7"/>
          <w:sz w:val="28"/>
        </w:rPr>
        <w:t>2. Matriz de Roles y Actividades Institucionales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3168"/>
        <w:gridCol w:w="3600"/>
      </w:tblGrid>
      <w:tr w:rsidR="005B3F0C" w14:paraId="2EB873AD" w14:textId="77777777" w:rsidTr="00853719">
        <w:trPr>
          <w:jc w:val="center"/>
        </w:trPr>
        <w:tc>
          <w:tcPr>
            <w:tcW w:w="2592" w:type="dxa"/>
            <w:vAlign w:val="center"/>
          </w:tcPr>
          <w:p w14:paraId="49F394E4" w14:textId="77777777" w:rsidR="005B3F0C" w:rsidRDefault="00000000">
            <w:pPr>
              <w:spacing w:before="80" w:after="80" w:line="252" w:lineRule="auto"/>
            </w:pPr>
            <w:r>
              <w:rPr>
                <w:rFonts w:ascii="Calibri" w:hAnsi="Calibri"/>
                <w:b/>
                <w:color w:val="0284C7"/>
                <w:sz w:val="20"/>
              </w:rPr>
              <w:t>Carril / Actor</w:t>
            </w:r>
          </w:p>
        </w:tc>
        <w:tc>
          <w:tcPr>
            <w:tcW w:w="3168" w:type="dxa"/>
            <w:vAlign w:val="center"/>
          </w:tcPr>
          <w:p w14:paraId="20A3DACD" w14:textId="77777777" w:rsidR="005B3F0C" w:rsidRDefault="00000000">
            <w:pPr>
              <w:spacing w:before="80" w:after="80" w:line="252" w:lineRule="auto"/>
            </w:pPr>
            <w:r>
              <w:rPr>
                <w:rFonts w:ascii="Calibri" w:hAnsi="Calibri"/>
                <w:b/>
                <w:color w:val="0284C7"/>
                <w:sz w:val="20"/>
              </w:rPr>
              <w:t>Actividades en el Diagrama</w:t>
            </w:r>
          </w:p>
        </w:tc>
        <w:tc>
          <w:tcPr>
            <w:tcW w:w="3600" w:type="dxa"/>
            <w:vAlign w:val="center"/>
          </w:tcPr>
          <w:p w14:paraId="490DBA7F" w14:textId="77777777" w:rsidR="005B3F0C" w:rsidRDefault="00000000">
            <w:pPr>
              <w:spacing w:before="80" w:after="80" w:line="252" w:lineRule="auto"/>
            </w:pPr>
            <w:r>
              <w:rPr>
                <w:rFonts w:ascii="Calibri" w:hAnsi="Calibri"/>
                <w:b/>
                <w:color w:val="0284C7"/>
                <w:sz w:val="20"/>
              </w:rPr>
              <w:t>Descripcion Operativa y Entregables</w:t>
            </w:r>
          </w:p>
        </w:tc>
      </w:tr>
      <w:tr w:rsidR="005B3F0C" w14:paraId="4D541632" w14:textId="77777777" w:rsidTr="00853719">
        <w:trPr>
          <w:jc w:val="center"/>
        </w:trPr>
        <w:tc>
          <w:tcPr>
            <w:tcW w:w="2592" w:type="dxa"/>
            <w:vAlign w:val="center"/>
          </w:tcPr>
          <w:p w14:paraId="753A9002" w14:textId="77777777" w:rsidR="005B3F0C" w:rsidRDefault="00000000" w:rsidP="00853719">
            <w:pPr>
              <w:spacing w:before="80" w:after="80" w:line="252" w:lineRule="auto"/>
              <w:jc w:val="both"/>
            </w:pPr>
            <w:r>
              <w:rPr>
                <w:rFonts w:ascii="Calibri" w:hAnsi="Calibri"/>
                <w:color w:val="0F172A"/>
                <w:sz w:val="19"/>
              </w:rPr>
              <w:t>Apelante</w:t>
            </w:r>
          </w:p>
        </w:tc>
        <w:tc>
          <w:tcPr>
            <w:tcW w:w="3168" w:type="dxa"/>
            <w:vAlign w:val="center"/>
          </w:tcPr>
          <w:p w14:paraId="62B38699" w14:textId="77777777" w:rsidR="005B3F0C" w:rsidRDefault="00000000" w:rsidP="00853719">
            <w:pPr>
              <w:spacing w:before="80" w:after="80" w:line="252" w:lineRule="auto"/>
              <w:jc w:val="both"/>
            </w:pPr>
            <w:r>
              <w:rPr>
                <w:rFonts w:ascii="Calibri" w:hAnsi="Calibri"/>
                <w:color w:val="0F172A"/>
                <w:sz w:val="19"/>
              </w:rPr>
              <w:t>- Presenta apelacion a Mesa de Partes</w:t>
            </w:r>
            <w:r>
              <w:rPr>
                <w:rFonts w:ascii="Calibri" w:hAnsi="Calibri"/>
                <w:color w:val="0F172A"/>
                <w:sz w:val="19"/>
              </w:rPr>
              <w:br/>
              <w:t>- Devuelve cargo de notificacion</w:t>
            </w:r>
          </w:p>
        </w:tc>
        <w:tc>
          <w:tcPr>
            <w:tcW w:w="3600" w:type="dxa"/>
            <w:vAlign w:val="center"/>
          </w:tcPr>
          <w:p w14:paraId="1C3F8EC0" w14:textId="77777777" w:rsidR="005B3F0C" w:rsidRDefault="00000000" w:rsidP="00853719">
            <w:pPr>
              <w:spacing w:before="80" w:after="80" w:line="252" w:lineRule="auto"/>
              <w:jc w:val="both"/>
            </w:pPr>
            <w:r>
              <w:rPr>
                <w:rFonts w:ascii="Calibri" w:hAnsi="Calibri"/>
                <w:color w:val="0F172A"/>
                <w:sz w:val="19"/>
              </w:rPr>
              <w:t xml:space="preserve">Administrado (padre, madre o familiar) que interpone el recurso de apelacion de segunda instancia. Posteriormente suscribe </w:t>
            </w:r>
            <w:r>
              <w:rPr>
                <w:rFonts w:ascii="Calibri" w:hAnsi="Calibri"/>
                <w:color w:val="0F172A"/>
                <w:sz w:val="19"/>
              </w:rPr>
              <w:lastRenderedPageBreak/>
              <w:t>la constancia de notificacion al termino del proceso.</w:t>
            </w:r>
          </w:p>
        </w:tc>
      </w:tr>
      <w:tr w:rsidR="005B3F0C" w14:paraId="70C3505D" w14:textId="77777777" w:rsidTr="00853719">
        <w:trPr>
          <w:jc w:val="center"/>
        </w:trPr>
        <w:tc>
          <w:tcPr>
            <w:tcW w:w="2592" w:type="dxa"/>
            <w:vAlign w:val="center"/>
          </w:tcPr>
          <w:p w14:paraId="2DE449B7" w14:textId="77777777" w:rsidR="005B3F0C" w:rsidRDefault="00000000" w:rsidP="00853719">
            <w:pPr>
              <w:spacing w:before="80" w:after="80" w:line="252" w:lineRule="auto"/>
              <w:jc w:val="both"/>
            </w:pPr>
            <w:r>
              <w:rPr>
                <w:rFonts w:ascii="Calibri" w:hAnsi="Calibri"/>
                <w:color w:val="0F172A"/>
                <w:sz w:val="19"/>
              </w:rPr>
              <w:lastRenderedPageBreak/>
              <w:t>Mesa de Partes</w:t>
            </w:r>
            <w:r>
              <w:rPr>
                <w:rFonts w:ascii="Calibri" w:hAnsi="Calibri"/>
                <w:color w:val="0F172A"/>
                <w:sz w:val="19"/>
              </w:rPr>
              <w:br/>
              <w:t>(MIMP o DL)</w:t>
            </w:r>
          </w:p>
        </w:tc>
        <w:tc>
          <w:tcPr>
            <w:tcW w:w="3168" w:type="dxa"/>
            <w:vAlign w:val="center"/>
          </w:tcPr>
          <w:p w14:paraId="29ECCB3F" w14:textId="77777777" w:rsidR="005B3F0C" w:rsidRDefault="00000000" w:rsidP="00853719">
            <w:pPr>
              <w:spacing w:before="80" w:after="80" w:line="252" w:lineRule="auto"/>
              <w:jc w:val="both"/>
            </w:pPr>
            <w:r>
              <w:rPr>
                <w:rFonts w:ascii="Calibri" w:hAnsi="Calibri"/>
                <w:color w:val="0F172A"/>
                <w:sz w:val="19"/>
              </w:rPr>
              <w:t>- Deriva apelacion a quien corresponda</w:t>
            </w:r>
          </w:p>
        </w:tc>
        <w:tc>
          <w:tcPr>
            <w:tcW w:w="3600" w:type="dxa"/>
            <w:vAlign w:val="center"/>
          </w:tcPr>
          <w:p w14:paraId="7C3DFA96" w14:textId="77777777" w:rsidR="005B3F0C" w:rsidRDefault="00000000" w:rsidP="00853719">
            <w:pPr>
              <w:spacing w:before="80" w:after="80" w:line="252" w:lineRule="auto"/>
              <w:jc w:val="both"/>
            </w:pPr>
            <w:r>
              <w:rPr>
                <w:rFonts w:ascii="Calibri" w:hAnsi="Calibri"/>
                <w:color w:val="0F172A"/>
                <w:sz w:val="19"/>
              </w:rPr>
              <w:t>Canal de ingreso documental presencial o virtual. Recepciona el recurso y lo traslada a la Direccion de Linea que emitio la resolucion materia de impugnacion.</w:t>
            </w:r>
          </w:p>
        </w:tc>
      </w:tr>
      <w:tr w:rsidR="005B3F0C" w14:paraId="15F12CFE" w14:textId="77777777" w:rsidTr="00853719">
        <w:trPr>
          <w:jc w:val="center"/>
        </w:trPr>
        <w:tc>
          <w:tcPr>
            <w:tcW w:w="2592" w:type="dxa"/>
            <w:vAlign w:val="center"/>
          </w:tcPr>
          <w:p w14:paraId="0FEEF401" w14:textId="77777777" w:rsidR="005B3F0C" w:rsidRDefault="00000000" w:rsidP="00853719">
            <w:pPr>
              <w:spacing w:before="80" w:after="80" w:line="252" w:lineRule="auto"/>
              <w:jc w:val="both"/>
            </w:pPr>
            <w:r>
              <w:rPr>
                <w:rFonts w:ascii="Calibri" w:hAnsi="Calibri"/>
                <w:color w:val="0F172A"/>
                <w:sz w:val="19"/>
              </w:rPr>
              <w:t>Direccion de Linea (DL)</w:t>
            </w:r>
            <w:r>
              <w:rPr>
                <w:rFonts w:ascii="Calibri" w:hAnsi="Calibri"/>
                <w:color w:val="0F172A"/>
                <w:sz w:val="19"/>
              </w:rPr>
              <w:br/>
              <w:t>(DPE / UPE u otra)</w:t>
            </w:r>
          </w:p>
        </w:tc>
        <w:tc>
          <w:tcPr>
            <w:tcW w:w="3168" w:type="dxa"/>
            <w:vAlign w:val="center"/>
          </w:tcPr>
          <w:p w14:paraId="5D137359" w14:textId="77777777" w:rsidR="005B3F0C" w:rsidRDefault="00000000" w:rsidP="00853719">
            <w:pPr>
              <w:spacing w:before="80" w:after="80" w:line="252" w:lineRule="auto"/>
              <w:jc w:val="both"/>
            </w:pPr>
            <w:r>
              <w:rPr>
                <w:rFonts w:ascii="Calibri" w:hAnsi="Calibri"/>
                <w:color w:val="0F172A"/>
                <w:sz w:val="19"/>
              </w:rPr>
              <w:t>- Deriva apelacion a DGNNA</w:t>
            </w:r>
            <w:r>
              <w:rPr>
                <w:rFonts w:ascii="Calibri" w:hAnsi="Calibri"/>
                <w:color w:val="0F172A"/>
                <w:sz w:val="19"/>
              </w:rPr>
              <w:br/>
              <w:t>- Notifica la resolucion a las partes</w:t>
            </w:r>
            <w:r>
              <w:rPr>
                <w:rFonts w:ascii="Calibri" w:hAnsi="Calibri"/>
                <w:color w:val="0F172A"/>
                <w:sz w:val="19"/>
              </w:rPr>
              <w:br/>
              <w:t>- Devuelve cargo de notificacion</w:t>
            </w:r>
          </w:p>
        </w:tc>
        <w:tc>
          <w:tcPr>
            <w:tcW w:w="3600" w:type="dxa"/>
            <w:vAlign w:val="center"/>
          </w:tcPr>
          <w:p w14:paraId="4E3D04E2" w14:textId="77777777" w:rsidR="005B3F0C" w:rsidRDefault="00000000" w:rsidP="00853719">
            <w:pPr>
              <w:spacing w:before="80" w:after="80" w:line="252" w:lineRule="auto"/>
              <w:jc w:val="both"/>
            </w:pPr>
            <w:r>
              <w:rPr>
                <w:rFonts w:ascii="Calibri" w:hAnsi="Calibri"/>
                <w:color w:val="0F172A"/>
                <w:sz w:val="19"/>
              </w:rPr>
              <w:t>Organo de primera instancia (habitualmente DPE / UPE). Eleva formalmente el expediente a la DGNNA via SGD. Tras la resolucion del recurso, efectua la diligencia de notificacion a los interesados y devuelve los cargos a la DGNNA.</w:t>
            </w:r>
          </w:p>
        </w:tc>
      </w:tr>
      <w:tr w:rsidR="005B3F0C" w14:paraId="7E52EC9D" w14:textId="77777777" w:rsidTr="00853719">
        <w:trPr>
          <w:jc w:val="center"/>
        </w:trPr>
        <w:tc>
          <w:tcPr>
            <w:tcW w:w="2592" w:type="dxa"/>
            <w:vAlign w:val="center"/>
          </w:tcPr>
          <w:p w14:paraId="6057CC69" w14:textId="77777777" w:rsidR="005B3F0C" w:rsidRDefault="00000000" w:rsidP="00853719">
            <w:pPr>
              <w:spacing w:before="80" w:after="80" w:line="252" w:lineRule="auto"/>
              <w:jc w:val="both"/>
            </w:pPr>
            <w:r>
              <w:rPr>
                <w:rFonts w:ascii="Calibri" w:hAnsi="Calibri"/>
                <w:color w:val="0F172A"/>
                <w:sz w:val="19"/>
              </w:rPr>
              <w:t>Secretaria</w:t>
            </w:r>
            <w:r>
              <w:rPr>
                <w:rFonts w:ascii="Calibri" w:hAnsi="Calibri"/>
                <w:color w:val="0F172A"/>
                <w:sz w:val="19"/>
              </w:rPr>
              <w:br/>
              <w:t>(DGNNA)</w:t>
            </w:r>
          </w:p>
        </w:tc>
        <w:tc>
          <w:tcPr>
            <w:tcW w:w="3168" w:type="dxa"/>
            <w:vAlign w:val="center"/>
          </w:tcPr>
          <w:p w14:paraId="2349C491" w14:textId="77777777" w:rsidR="005B3F0C" w:rsidRDefault="00000000" w:rsidP="00853719">
            <w:pPr>
              <w:spacing w:before="80" w:after="80" w:line="252" w:lineRule="auto"/>
              <w:jc w:val="both"/>
            </w:pPr>
            <w:r>
              <w:rPr>
                <w:rFonts w:ascii="Calibri" w:hAnsi="Calibri"/>
                <w:color w:val="0F172A"/>
                <w:sz w:val="19"/>
              </w:rPr>
              <w:t>- Asigna expediente a abogada</w:t>
            </w:r>
            <w:r>
              <w:rPr>
                <w:rFonts w:ascii="Calibri" w:hAnsi="Calibri"/>
                <w:color w:val="0F172A"/>
                <w:sz w:val="19"/>
              </w:rPr>
              <w:br/>
              <w:t>- Deriva para revision de la R.D.</w:t>
            </w:r>
            <w:r>
              <w:rPr>
                <w:rFonts w:ascii="Calibri" w:hAnsi="Calibri"/>
                <w:color w:val="0F172A"/>
                <w:sz w:val="19"/>
              </w:rPr>
              <w:br/>
              <w:t>- Devuelve para subsanar R.D.</w:t>
            </w:r>
            <w:r>
              <w:rPr>
                <w:rFonts w:ascii="Calibri" w:hAnsi="Calibri"/>
                <w:color w:val="0F172A"/>
                <w:sz w:val="19"/>
              </w:rPr>
              <w:br/>
              <w:t>- Deriva para firma de R.D.</w:t>
            </w:r>
            <w:r>
              <w:rPr>
                <w:rFonts w:ascii="Calibri" w:hAnsi="Calibri"/>
                <w:color w:val="0F172A"/>
                <w:sz w:val="19"/>
              </w:rPr>
              <w:br/>
              <w:t>- Remite resolucion, memorandum, oficio y/o carta</w:t>
            </w:r>
            <w:r>
              <w:rPr>
                <w:rFonts w:ascii="Calibri" w:hAnsi="Calibri"/>
                <w:color w:val="0F172A"/>
                <w:sz w:val="19"/>
              </w:rPr>
              <w:br/>
              <w:t>- Recepcion cargo y archiva</w:t>
            </w:r>
          </w:p>
        </w:tc>
        <w:tc>
          <w:tcPr>
            <w:tcW w:w="3600" w:type="dxa"/>
            <w:vAlign w:val="center"/>
          </w:tcPr>
          <w:p w14:paraId="6006C225" w14:textId="77777777" w:rsidR="005B3F0C" w:rsidRDefault="00000000" w:rsidP="00853719">
            <w:pPr>
              <w:spacing w:before="80" w:after="80" w:line="252" w:lineRule="auto"/>
              <w:jc w:val="both"/>
            </w:pPr>
            <w:r>
              <w:rPr>
                <w:rFonts w:ascii="Calibri" w:hAnsi="Calibri"/>
                <w:color w:val="0F172A"/>
                <w:sz w:val="19"/>
              </w:rPr>
              <w:t>Eje central de control de flujo y trazabilidad documentaria. Asigna el expediente, canaliza las revisiones e iteraciones de correccion con el revisor, eleva al despacho de Direccion, genera los documentos de atencion en el SGD y procede al archivo definitivo tras recibir los cargos.</w:t>
            </w:r>
          </w:p>
        </w:tc>
      </w:tr>
      <w:tr w:rsidR="005B3F0C" w14:paraId="02A8502A" w14:textId="77777777" w:rsidTr="00853719">
        <w:trPr>
          <w:jc w:val="center"/>
        </w:trPr>
        <w:tc>
          <w:tcPr>
            <w:tcW w:w="2592" w:type="dxa"/>
            <w:vAlign w:val="center"/>
          </w:tcPr>
          <w:p w14:paraId="4E4C47CF" w14:textId="77777777" w:rsidR="005B3F0C" w:rsidRDefault="00000000" w:rsidP="00853719">
            <w:pPr>
              <w:spacing w:before="80" w:after="80" w:line="252" w:lineRule="auto"/>
              <w:jc w:val="both"/>
            </w:pPr>
            <w:r>
              <w:rPr>
                <w:rFonts w:ascii="Calibri" w:hAnsi="Calibri"/>
                <w:color w:val="0F172A"/>
                <w:sz w:val="19"/>
              </w:rPr>
              <w:t>Abogada</w:t>
            </w:r>
          </w:p>
        </w:tc>
        <w:tc>
          <w:tcPr>
            <w:tcW w:w="3168" w:type="dxa"/>
            <w:vAlign w:val="center"/>
          </w:tcPr>
          <w:p w14:paraId="5F6BA4F1" w14:textId="77777777" w:rsidR="005B3F0C" w:rsidRDefault="00000000" w:rsidP="00853719">
            <w:pPr>
              <w:spacing w:before="80" w:after="80" w:line="252" w:lineRule="auto"/>
              <w:jc w:val="both"/>
            </w:pPr>
            <w:r>
              <w:rPr>
                <w:rFonts w:ascii="Calibri" w:hAnsi="Calibri"/>
                <w:color w:val="0F172A"/>
                <w:sz w:val="19"/>
              </w:rPr>
              <w:t>- Evalua apelacion</w:t>
            </w:r>
            <w:r>
              <w:rPr>
                <w:rFonts w:ascii="Calibri" w:hAnsi="Calibri"/>
                <w:color w:val="0F172A"/>
                <w:sz w:val="19"/>
              </w:rPr>
              <w:br/>
              <w:t>- Elabora proyecto de Resolucion Directoral</w:t>
            </w:r>
            <w:r>
              <w:rPr>
                <w:rFonts w:ascii="Calibri" w:hAnsi="Calibri"/>
                <w:color w:val="0F172A"/>
                <w:sz w:val="19"/>
              </w:rPr>
              <w:br/>
              <w:t>- Entrega proyecto de Resolucion Directoral</w:t>
            </w:r>
          </w:p>
        </w:tc>
        <w:tc>
          <w:tcPr>
            <w:tcW w:w="3600" w:type="dxa"/>
            <w:vAlign w:val="center"/>
          </w:tcPr>
          <w:p w14:paraId="3FA39C19" w14:textId="77777777" w:rsidR="005B3F0C" w:rsidRDefault="00000000" w:rsidP="00853719">
            <w:pPr>
              <w:spacing w:before="80" w:after="80" w:line="252" w:lineRule="auto"/>
              <w:jc w:val="both"/>
            </w:pPr>
            <w:r>
              <w:rPr>
                <w:rFonts w:ascii="Calibri" w:hAnsi="Calibri"/>
                <w:color w:val="0F172A"/>
                <w:sz w:val="19"/>
              </w:rPr>
              <w:t>Especialista legal que evalua los actuados administrativos, analiza los fundamentos de agravio, proyecta el Informe Legal y la Resolucion Directoral (R.D.). En caso de observaciones, subsana el proyecto.</w:t>
            </w:r>
          </w:p>
        </w:tc>
      </w:tr>
      <w:tr w:rsidR="005B3F0C" w14:paraId="18A03105" w14:textId="77777777" w:rsidTr="00853719">
        <w:trPr>
          <w:jc w:val="center"/>
        </w:trPr>
        <w:tc>
          <w:tcPr>
            <w:tcW w:w="2592" w:type="dxa"/>
            <w:vAlign w:val="center"/>
          </w:tcPr>
          <w:p w14:paraId="0E181003" w14:textId="77777777" w:rsidR="005B3F0C" w:rsidRDefault="00000000" w:rsidP="00853719">
            <w:pPr>
              <w:spacing w:before="80" w:after="80" w:line="252" w:lineRule="auto"/>
              <w:jc w:val="both"/>
            </w:pPr>
            <w:r>
              <w:rPr>
                <w:rFonts w:ascii="Calibri" w:hAnsi="Calibri"/>
                <w:color w:val="0F172A"/>
                <w:sz w:val="19"/>
              </w:rPr>
              <w:t>Revisor</w:t>
            </w:r>
          </w:p>
        </w:tc>
        <w:tc>
          <w:tcPr>
            <w:tcW w:w="3168" w:type="dxa"/>
            <w:vAlign w:val="center"/>
          </w:tcPr>
          <w:p w14:paraId="4C2AF1C6" w14:textId="77777777" w:rsidR="005B3F0C" w:rsidRDefault="00000000" w:rsidP="00853719">
            <w:pPr>
              <w:spacing w:before="80" w:after="80" w:line="252" w:lineRule="auto"/>
              <w:jc w:val="both"/>
            </w:pPr>
            <w:r>
              <w:rPr>
                <w:rFonts w:ascii="Calibri" w:hAnsi="Calibri"/>
                <w:color w:val="0F172A"/>
                <w:sz w:val="19"/>
              </w:rPr>
              <w:t>- Revisa proyecto de R.D.</w:t>
            </w:r>
            <w:r>
              <w:rPr>
                <w:rFonts w:ascii="Calibri" w:hAnsi="Calibri"/>
                <w:color w:val="0F172A"/>
                <w:sz w:val="19"/>
              </w:rPr>
              <w:br/>
              <w:t>- Compuerta: R.D. tiene observaciones?</w:t>
            </w:r>
          </w:p>
        </w:tc>
        <w:tc>
          <w:tcPr>
            <w:tcW w:w="3600" w:type="dxa"/>
            <w:vAlign w:val="center"/>
          </w:tcPr>
          <w:p w14:paraId="268A09A1" w14:textId="77777777" w:rsidR="005B3F0C" w:rsidRDefault="00000000" w:rsidP="00853719">
            <w:pPr>
              <w:spacing w:before="80" w:after="80" w:line="252" w:lineRule="auto"/>
              <w:jc w:val="both"/>
            </w:pPr>
            <w:r>
              <w:rPr>
                <w:rFonts w:ascii="Calibri" w:hAnsi="Calibri"/>
                <w:color w:val="0F172A"/>
                <w:sz w:val="19"/>
              </w:rPr>
              <w:t>Control de calidad juridico. Revisa el fondo y forma del proyecto. Si advierte inconsistencias, devuelve a Secretaria para subsanacion de la abogada; si esta conforme, da visto bueno para firma.</w:t>
            </w:r>
          </w:p>
        </w:tc>
      </w:tr>
      <w:tr w:rsidR="005B3F0C" w14:paraId="37221ECC" w14:textId="77777777" w:rsidTr="00853719">
        <w:trPr>
          <w:jc w:val="center"/>
        </w:trPr>
        <w:tc>
          <w:tcPr>
            <w:tcW w:w="2592" w:type="dxa"/>
            <w:vAlign w:val="center"/>
          </w:tcPr>
          <w:p w14:paraId="548543E3" w14:textId="77777777" w:rsidR="005B3F0C" w:rsidRDefault="00000000" w:rsidP="00853719">
            <w:pPr>
              <w:spacing w:before="80" w:after="80" w:line="252" w:lineRule="auto"/>
              <w:jc w:val="both"/>
            </w:pPr>
            <w:r>
              <w:rPr>
                <w:rFonts w:ascii="Calibri" w:hAnsi="Calibri"/>
                <w:color w:val="0F172A"/>
                <w:sz w:val="19"/>
              </w:rPr>
              <w:t>Directora</w:t>
            </w:r>
          </w:p>
        </w:tc>
        <w:tc>
          <w:tcPr>
            <w:tcW w:w="3168" w:type="dxa"/>
            <w:vAlign w:val="center"/>
          </w:tcPr>
          <w:p w14:paraId="178A48B7" w14:textId="77777777" w:rsidR="005B3F0C" w:rsidRDefault="00000000" w:rsidP="00853719">
            <w:pPr>
              <w:spacing w:before="80" w:after="80" w:line="252" w:lineRule="auto"/>
              <w:jc w:val="both"/>
            </w:pPr>
            <w:r>
              <w:rPr>
                <w:rFonts w:ascii="Calibri" w:hAnsi="Calibri"/>
                <w:color w:val="0F172A"/>
                <w:sz w:val="19"/>
              </w:rPr>
              <w:t>- Revisa para firma de R.D.</w:t>
            </w:r>
          </w:p>
        </w:tc>
        <w:tc>
          <w:tcPr>
            <w:tcW w:w="3600" w:type="dxa"/>
            <w:vAlign w:val="center"/>
          </w:tcPr>
          <w:p w14:paraId="2F144184" w14:textId="77777777" w:rsidR="005B3F0C" w:rsidRDefault="00000000" w:rsidP="00853719">
            <w:pPr>
              <w:spacing w:before="80" w:after="80" w:line="252" w:lineRule="auto"/>
              <w:jc w:val="both"/>
            </w:pPr>
            <w:r>
              <w:rPr>
                <w:rFonts w:ascii="Calibri" w:hAnsi="Calibri"/>
                <w:color w:val="0F172A"/>
                <w:sz w:val="19"/>
              </w:rPr>
              <w:t>Titular de la DGNNA. Evalua en ultima instancia y suscribe la Resolucion Directoral que agota la via administrativa.</w:t>
            </w:r>
          </w:p>
        </w:tc>
      </w:tr>
    </w:tbl>
    <w:p w14:paraId="33045AA4" w14:textId="77777777" w:rsidR="005B3F0C" w:rsidRDefault="005B3F0C">
      <w:pPr>
        <w:spacing w:after="240"/>
      </w:pPr>
    </w:p>
    <w:p w14:paraId="491619F2" w14:textId="77777777" w:rsidR="005B3F0C" w:rsidRDefault="00000000">
      <w:pPr>
        <w:spacing w:before="240" w:after="160"/>
      </w:pPr>
      <w:r>
        <w:rPr>
          <w:rFonts w:ascii="Calibri" w:hAnsi="Calibri"/>
          <w:b/>
          <w:color w:val="0284C7"/>
          <w:sz w:val="28"/>
        </w:rPr>
        <w:t>3. Reglas y Caracteristicas Clave del Circuito</w:t>
      </w:r>
    </w:p>
    <w:p w14:paraId="6FEE46FB" w14:textId="77777777" w:rsidR="005B3F0C" w:rsidRDefault="00000000" w:rsidP="00853719">
      <w:pPr>
        <w:pStyle w:val="Listaconvietas"/>
        <w:spacing w:after="80"/>
        <w:jc w:val="both"/>
      </w:pPr>
      <w:r>
        <w:rPr>
          <w:rFonts w:ascii="Calibri" w:hAnsi="Calibri"/>
          <w:b/>
          <w:color w:val="1E293B"/>
          <w:sz w:val="21"/>
        </w:rPr>
        <w:t>Canalizacion Formal por Secretaria:</w:t>
      </w:r>
      <w:r>
        <w:rPr>
          <w:rFonts w:ascii="Calibri" w:hAnsi="Calibri"/>
          <w:color w:val="334155"/>
          <w:sz w:val="21"/>
        </w:rPr>
        <w:t xml:space="preserve"> La Abogada y el Revisor no coordinan derivaciones informales. Todo pase, revision y subsanacion se canaliza a traves de Secretaria para mantener la trazabilidad de tiempos y estados del expediente.</w:t>
      </w:r>
    </w:p>
    <w:p w14:paraId="232604DF" w14:textId="77777777" w:rsidR="005B3F0C" w:rsidRDefault="00000000" w:rsidP="00853719">
      <w:pPr>
        <w:pStyle w:val="Listaconvietas"/>
        <w:spacing w:after="80"/>
        <w:jc w:val="both"/>
      </w:pPr>
      <w:r>
        <w:rPr>
          <w:rFonts w:ascii="Calibri" w:hAnsi="Calibri"/>
          <w:b/>
          <w:color w:val="1E293B"/>
          <w:sz w:val="21"/>
        </w:rPr>
        <w:t>Alcance Amplio de Direccion de Linea (DL):</w:t>
      </w:r>
      <w:r>
        <w:rPr>
          <w:rFonts w:ascii="Calibri" w:hAnsi="Calibri"/>
          <w:color w:val="334155"/>
          <w:sz w:val="21"/>
        </w:rPr>
        <w:t xml:space="preserve"> Si bien el mayor volumen corresponde a expedientes de la Direccion de Proteccion Especial (DPE / UPE), la denominacion Direccion de Linea abarca integralmente a cualquier otra unidad tecnica u organo de procedencia (Adopciones, PAS, Beneficencias, etc.).</w:t>
      </w:r>
    </w:p>
    <w:p w14:paraId="049591E4" w14:textId="77777777" w:rsidR="005B3F0C" w:rsidRDefault="00000000" w:rsidP="00853719">
      <w:pPr>
        <w:pStyle w:val="Listaconvietas"/>
        <w:spacing w:after="80"/>
        <w:jc w:val="both"/>
      </w:pPr>
      <w:r>
        <w:rPr>
          <w:rFonts w:ascii="Calibri" w:hAnsi="Calibri"/>
          <w:b/>
          <w:color w:val="1E293B"/>
          <w:sz w:val="21"/>
        </w:rPr>
        <w:t>Generacion Documentaria via SGD:</w:t>
      </w:r>
      <w:r>
        <w:rPr>
          <w:rFonts w:ascii="Calibri" w:hAnsi="Calibri"/>
          <w:color w:val="334155"/>
          <w:sz w:val="21"/>
        </w:rPr>
        <w:t xml:space="preserve"> El numero correlativo oficial de la Resolucion Directoral (R.D.), su fecha de expedicion y los documentos de atencion (memorandos, oficios y cartas) se formalizan en el Sistema de Gestion Documental institucional.</w:t>
      </w:r>
    </w:p>
    <w:p w14:paraId="790A981D" w14:textId="77777777" w:rsidR="005B3F0C" w:rsidRDefault="00000000" w:rsidP="00853719">
      <w:pPr>
        <w:pStyle w:val="Listaconvietas"/>
        <w:spacing w:after="80"/>
        <w:jc w:val="both"/>
      </w:pPr>
      <w:r>
        <w:rPr>
          <w:rFonts w:ascii="Calibri" w:hAnsi="Calibri"/>
          <w:b/>
          <w:color w:val="1E293B"/>
          <w:sz w:val="21"/>
        </w:rPr>
        <w:lastRenderedPageBreak/>
        <w:t>Cierre Efectivo por Notificacion:</w:t>
      </w:r>
      <w:r>
        <w:rPr>
          <w:rFonts w:ascii="Calibri" w:hAnsi="Calibri"/>
          <w:color w:val="334155"/>
          <w:sz w:val="21"/>
        </w:rPr>
        <w:t xml:space="preserve"> El procedimiento no culmina con la firma de la resolucion, sino cuando la Direccion de Linea notifica a las partes interesadas y remite los cargos de notificacion firmados a Secretaria para su recepcion y archivo final.</w:t>
      </w:r>
    </w:p>
    <w:sectPr w:rsidR="005B3F0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5056257">
    <w:abstractNumId w:val="8"/>
  </w:num>
  <w:num w:numId="2" w16cid:durableId="1972975138">
    <w:abstractNumId w:val="6"/>
  </w:num>
  <w:num w:numId="3" w16cid:durableId="186450001">
    <w:abstractNumId w:val="5"/>
  </w:num>
  <w:num w:numId="4" w16cid:durableId="99758549">
    <w:abstractNumId w:val="4"/>
  </w:num>
  <w:num w:numId="5" w16cid:durableId="188876459">
    <w:abstractNumId w:val="7"/>
  </w:num>
  <w:num w:numId="6" w16cid:durableId="538933125">
    <w:abstractNumId w:val="3"/>
  </w:num>
  <w:num w:numId="7" w16cid:durableId="1674600623">
    <w:abstractNumId w:val="2"/>
  </w:num>
  <w:num w:numId="8" w16cid:durableId="1149833001">
    <w:abstractNumId w:val="1"/>
  </w:num>
  <w:num w:numId="9" w16cid:durableId="1517765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3F0C"/>
    <w:rsid w:val="00853719"/>
    <w:rsid w:val="00AA1D8D"/>
    <w:rsid w:val="00B47730"/>
    <w:rsid w:val="00CB0664"/>
    <w:rsid w:val="00E815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0343D7"/>
  <w14:defaultImageDpi w14:val="300"/>
  <w15:docId w15:val="{AD354EFD-F4BE-4417-8CA3-678170DA7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604</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I202330999 (Campos Guerra,Charly Hernan)</cp:lastModifiedBy>
  <cp:revision>2</cp:revision>
  <dcterms:created xsi:type="dcterms:W3CDTF">2013-12-23T23:15:00Z</dcterms:created>
  <dcterms:modified xsi:type="dcterms:W3CDTF">2026-09-07T21:34:00Z</dcterms:modified>
  <cp:category/>
</cp:coreProperties>
</file>