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D33C" w14:textId="77777777" w:rsidR="00541CEA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Matriz de iniciativas de proyectos normativos priorizados para el año 2026</w:t>
      </w:r>
    </w:p>
    <w:tbl>
      <w:tblPr>
        <w:tblStyle w:val="Tablaconcuadrculaclara1"/>
        <w:tblW w:w="0" w:type="auto"/>
        <w:tblLook w:val="04A0" w:firstRow="1" w:lastRow="0" w:firstColumn="1" w:lastColumn="0" w:noHBand="0" w:noVBand="1"/>
      </w:tblPr>
      <w:tblGrid>
        <w:gridCol w:w="395"/>
        <w:gridCol w:w="1192"/>
        <w:gridCol w:w="1100"/>
        <w:gridCol w:w="1514"/>
        <w:gridCol w:w="1917"/>
        <w:gridCol w:w="2225"/>
        <w:gridCol w:w="1444"/>
        <w:gridCol w:w="1234"/>
        <w:gridCol w:w="1175"/>
        <w:gridCol w:w="1798"/>
      </w:tblGrid>
      <w:tr w:rsidR="00541CEA" w14:paraId="30CF8B29" w14:textId="77777777">
        <w:tc>
          <w:tcPr>
            <w:tcW w:w="0" w:type="auto"/>
            <w:shd w:val="clear" w:color="auto" w:fill="F2F2F2" w:themeFill="background1" w:themeFillShade="F2"/>
          </w:tcPr>
          <w:p w14:paraId="736D9F27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F7F8CD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Dirección General / Programa / Organismo adscrito responsable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B4AB658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Tipo de dispositivo normativo (Proyecto de Ley, DS, RM, etc.)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C424E8C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Denominación de la iniciativa normativa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CC1F03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Problema o necesidad que se busca atender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FCE7ADF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¿Existe mandato legal que requiera su emisión? </w:t>
            </w:r>
          </w:p>
          <w:p w14:paraId="0F4CB37A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(precisar norma)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8E0978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Nivel de prioridad (Alta/Media/Baja)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00DF246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Estado de avance (idea / en elaboración / borrador)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2142B50" w14:textId="77777777" w:rsidR="00541CEA" w:rsidRDefault="0000000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Fecha estimada de presentación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ACE8BA2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Comentarios adicionales</w:t>
            </w:r>
          </w:p>
        </w:tc>
      </w:tr>
      <w:tr w:rsidR="00541CEA" w14:paraId="444D2F40" w14:textId="77777777">
        <w:trPr>
          <w:trHeight w:val="397"/>
        </w:trPr>
        <w:tc>
          <w:tcPr>
            <w:tcW w:w="0" w:type="auto"/>
          </w:tcPr>
          <w:p w14:paraId="251A7E69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47045CF" w14:textId="04141E22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D</w:t>
            </w:r>
            <w:r w:rsidR="0094060B">
              <w:rPr>
                <w:rFonts w:ascii="Arial Narrow" w:hAnsi="Arial Narrow" w:cs="Arial"/>
                <w:sz w:val="18"/>
                <w:szCs w:val="18"/>
                <w:lang w:val="es-ES"/>
              </w:rPr>
              <w:t>SLD</w:t>
            </w:r>
          </w:p>
        </w:tc>
        <w:tc>
          <w:tcPr>
            <w:tcW w:w="0" w:type="auto"/>
          </w:tcPr>
          <w:p w14:paraId="6232CA7F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DECRETO SUPREMO</w:t>
            </w:r>
          </w:p>
        </w:tc>
        <w:tc>
          <w:tcPr>
            <w:tcW w:w="0" w:type="auto"/>
          </w:tcPr>
          <w:p w14:paraId="518F6219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Modifica el anexo ùnico del DS 020-2021-MIMP que apreuba la estrategia “Ponte en ModoNiñez”</w:t>
            </w:r>
          </w:p>
        </w:tc>
        <w:tc>
          <w:tcPr>
            <w:tcW w:w="0" w:type="auto"/>
          </w:tcPr>
          <w:p w14:paraId="04B32B82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Modificar indicadores de evaluaciòn de la estrategia, a Gobiernos locales y regionales</w:t>
            </w:r>
          </w:p>
        </w:tc>
        <w:tc>
          <w:tcPr>
            <w:tcW w:w="0" w:type="auto"/>
          </w:tcPr>
          <w:p w14:paraId="6898C63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No</w:t>
            </w:r>
          </w:p>
        </w:tc>
        <w:tc>
          <w:tcPr>
            <w:tcW w:w="0" w:type="auto"/>
          </w:tcPr>
          <w:p w14:paraId="47F8D0FF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</w:tcPr>
          <w:p w14:paraId="2F769623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Se ha adecuado el proyecto normativo a la actual Directiva 002-2026-MIMP (Gestiòn de proyectos normativos)</w:t>
            </w:r>
          </w:p>
        </w:tc>
        <w:tc>
          <w:tcPr>
            <w:tcW w:w="0" w:type="auto"/>
          </w:tcPr>
          <w:p w14:paraId="736A8BD6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12/03/2026</w:t>
            </w:r>
          </w:p>
        </w:tc>
        <w:tc>
          <w:tcPr>
            <w:tcW w:w="0" w:type="auto"/>
          </w:tcPr>
          <w:p w14:paraId="598389C0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Se ha presentado el Informe D0016-2026-MIMP-DSLD-RAAB, para revisiòn de la propuesta</w:t>
            </w:r>
          </w:p>
          <w:p w14:paraId="26487214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(Expediente 2024-00798)</w:t>
            </w:r>
          </w:p>
        </w:tc>
      </w:tr>
      <w:tr w:rsidR="00541CEA" w14:paraId="5C1ACDC5" w14:textId="77777777">
        <w:trPr>
          <w:trHeight w:val="397"/>
        </w:trPr>
        <w:tc>
          <w:tcPr>
            <w:tcW w:w="0" w:type="auto"/>
          </w:tcPr>
          <w:p w14:paraId="601A76C0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0" w:type="auto"/>
          </w:tcPr>
          <w:p w14:paraId="724A8F0B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315E9D65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RM</w:t>
            </w:r>
          </w:p>
        </w:tc>
        <w:tc>
          <w:tcPr>
            <w:tcW w:w="0" w:type="auto"/>
          </w:tcPr>
          <w:p w14:paraId="15C90409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Lineamientos para fortalecer los Sistemas Locales de Protección y Participación de Niñas, Niños y Adolescentes.</w:t>
            </w:r>
          </w:p>
        </w:tc>
        <w:tc>
          <w:tcPr>
            <w:tcW w:w="0" w:type="auto"/>
          </w:tcPr>
          <w:p w14:paraId="5BAC86AA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Los mecanismos de protección y participación de niñas, niños y adolescentes (COMUDENA, CCONNA, Estrategia Modo Niñez y servicio JUGUEMOS) funcionan divididas lo que dificulta su articulación y su implementación por parte de los gobiernos locales.</w:t>
            </w:r>
          </w:p>
        </w:tc>
        <w:tc>
          <w:tcPr>
            <w:tcW w:w="0" w:type="auto"/>
          </w:tcPr>
          <w:p w14:paraId="04B706D9" w14:textId="77777777" w:rsidR="00541CEA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Convención sobre los Derechos del Niño.</w:t>
            </w:r>
          </w:p>
          <w:p w14:paraId="7C8E5333" w14:textId="77777777" w:rsidR="00541CEA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Código de los Niños y Adolescentes.</w:t>
            </w:r>
          </w:p>
          <w:p w14:paraId="7B1AB759" w14:textId="77777777" w:rsidR="00541CEA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Política Nacional Multisectorial para las Niñas, Niños y Adolescentes.</w:t>
            </w:r>
          </w:p>
          <w:p w14:paraId="4AF8B9DB" w14:textId="77777777" w:rsidR="00541CEA" w:rsidRDefault="0000000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Observaciones finales del Comité de los Derechos del Niño al Perú</w:t>
            </w:r>
          </w:p>
        </w:tc>
        <w:tc>
          <w:tcPr>
            <w:tcW w:w="0" w:type="auto"/>
          </w:tcPr>
          <w:p w14:paraId="42FEEF62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</w:tcPr>
          <w:p w14:paraId="493260DC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Idea</w:t>
            </w:r>
          </w:p>
        </w:tc>
        <w:tc>
          <w:tcPr>
            <w:tcW w:w="0" w:type="auto"/>
          </w:tcPr>
          <w:p w14:paraId="2CBAC518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Junio 2026</w:t>
            </w:r>
          </w:p>
        </w:tc>
        <w:tc>
          <w:tcPr>
            <w:tcW w:w="0" w:type="auto"/>
          </w:tcPr>
          <w:p w14:paraId="1427F626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Documento que articula los instrumentos existentes de la DSLD y fortalece la implementación de la política de niñez, incorporando enfoque de inclusión de niñas, niños y adolescentes con discapacidad, enfoque intergeneracional y enfoque de género.</w:t>
            </w:r>
          </w:p>
        </w:tc>
      </w:tr>
      <w:tr w:rsidR="00541CEA" w14:paraId="712CCDED" w14:textId="77777777">
        <w:trPr>
          <w:trHeight w:val="397"/>
        </w:trPr>
        <w:tc>
          <w:tcPr>
            <w:tcW w:w="0" w:type="auto"/>
          </w:tcPr>
          <w:p w14:paraId="0B54E0BA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0" w:type="auto"/>
          </w:tcPr>
          <w:p w14:paraId="523DF119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2D57286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RM</w:t>
            </w:r>
          </w:p>
        </w:tc>
        <w:tc>
          <w:tcPr>
            <w:tcW w:w="0" w:type="auto"/>
          </w:tcPr>
          <w:p w14:paraId="03B57C24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Lineamientos para el funcionamiento y la implementación del Comité Multisectorial por los derechos de las </w:t>
            </w: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niñas, niños y adolescentes – COMUDENNA</w:t>
            </w:r>
          </w:p>
        </w:tc>
        <w:tc>
          <w:tcPr>
            <w:tcW w:w="0" w:type="auto"/>
          </w:tcPr>
          <w:p w14:paraId="64683590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Las COMUDENNA están mencionadas en decretos supremos pero carecen de lineamientos operativos que orienten su implementación y </w:t>
            </w: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funcionamiento en los gobiernos locales. </w:t>
            </w:r>
          </w:p>
        </w:tc>
        <w:tc>
          <w:tcPr>
            <w:tcW w:w="0" w:type="auto"/>
          </w:tcPr>
          <w:p w14:paraId="0CDBAFE7" w14:textId="77777777" w:rsidR="00541CEA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Decreto Supremo que aprueba la Política Nacional Multisectorial para las Niñas, Niños y Adolescentes.</w:t>
            </w:r>
          </w:p>
          <w:p w14:paraId="62F7FB8B" w14:textId="77777777" w:rsidR="00541CEA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Código de los Niños y Adolescentes.</w:t>
            </w:r>
          </w:p>
        </w:tc>
        <w:tc>
          <w:tcPr>
            <w:tcW w:w="0" w:type="auto"/>
          </w:tcPr>
          <w:p w14:paraId="5E7A0066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0" w:type="auto"/>
          </w:tcPr>
          <w:p w14:paraId="096E416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Idea</w:t>
            </w:r>
          </w:p>
        </w:tc>
        <w:tc>
          <w:tcPr>
            <w:tcW w:w="0" w:type="auto"/>
          </w:tcPr>
          <w:p w14:paraId="65CF683A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Mayo 2026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1CEA" w14:paraId="4DA954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0DE5D2C" w14:textId="77777777" w:rsidR="00541CEA" w:rsidRDefault="00541CEA">
                  <w:pPr>
                    <w:spacing w:after="0" w:line="240" w:lineRule="auto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</w:tr>
          </w:tbl>
          <w:p w14:paraId="741F55D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Instrumento que fortalecerá el rol de las COMUDENNA como espacio de articulación </w:t>
            </w: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local de la política de niñez</w:t>
            </w:r>
          </w:p>
        </w:tc>
      </w:tr>
      <w:tr w:rsidR="00541CEA" w14:paraId="3C3FB701" w14:textId="77777777">
        <w:trPr>
          <w:trHeight w:val="397"/>
        </w:trPr>
        <w:tc>
          <w:tcPr>
            <w:tcW w:w="0" w:type="auto"/>
          </w:tcPr>
          <w:p w14:paraId="5EE4FF8C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lastRenderedPageBreak/>
              <w:t>4</w:t>
            </w:r>
          </w:p>
        </w:tc>
        <w:tc>
          <w:tcPr>
            <w:tcW w:w="0" w:type="auto"/>
          </w:tcPr>
          <w:p w14:paraId="122C80D8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50578FEC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RM</w:t>
            </w:r>
          </w:p>
        </w:tc>
        <w:tc>
          <w:tcPr>
            <w:tcW w:w="0" w:type="auto"/>
          </w:tcPr>
          <w:p w14:paraId="4A392614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Lineamientos para el fortalecimiento de los Consejos Consultivos y Participativos de Niñas, Niños y Adolescentes – CCONNA</w:t>
            </w:r>
          </w:p>
        </w:tc>
        <w:tc>
          <w:tcPr>
            <w:tcW w:w="0" w:type="auto"/>
          </w:tcPr>
          <w:p w14:paraId="0D76A2D6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Existe normativa sobre CCONNA, pero se requiere promover la participación de niñas, niños y adolescentes, garantizar enfoques de interculturalidad, inclusión de NNA con discapacidad y de género y fortalecer la implementación efectiva de los CCONNA. </w:t>
            </w:r>
          </w:p>
        </w:tc>
        <w:tc>
          <w:tcPr>
            <w:tcW w:w="0" w:type="auto"/>
          </w:tcPr>
          <w:p w14:paraId="1B51AFDB" w14:textId="77777777" w:rsidR="00541CEA" w:rsidRDefault="0000000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Resolución Ministerial que aprueba el Reglamento de los CCONNA (RM 152-2023-MIMP).</w:t>
            </w:r>
          </w:p>
          <w:p w14:paraId="27D41C4F" w14:textId="77777777" w:rsidR="00541CEA" w:rsidRDefault="0000000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Observaciones finales del Comité de los Derechos del Niño al Estado peruano.</w:t>
            </w:r>
          </w:p>
        </w:tc>
        <w:tc>
          <w:tcPr>
            <w:tcW w:w="0" w:type="auto"/>
          </w:tcPr>
          <w:p w14:paraId="0F4EBB93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</w:tcPr>
          <w:p w14:paraId="5A7EA4B5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Idea</w:t>
            </w:r>
          </w:p>
        </w:tc>
        <w:tc>
          <w:tcPr>
            <w:tcW w:w="0" w:type="auto"/>
          </w:tcPr>
          <w:p w14:paraId="47819755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Junio 2026</w:t>
            </w:r>
          </w:p>
        </w:tc>
        <w:tc>
          <w:tcPr>
            <w:tcW w:w="0" w:type="auto"/>
          </w:tcPr>
          <w:p w14:paraId="51978114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 incorporará el enfoque de la participación de niñas, niños y adolescentes con discapacidad e igualdad de género. Busca fortalecer la participación de NNA en la gestión pública local y regional. </w:t>
            </w:r>
          </w:p>
        </w:tc>
      </w:tr>
      <w:tr w:rsidR="00541CEA" w14:paraId="47582BDC" w14:textId="77777777">
        <w:trPr>
          <w:trHeight w:val="397"/>
        </w:trPr>
        <w:tc>
          <w:tcPr>
            <w:tcW w:w="0" w:type="auto"/>
          </w:tcPr>
          <w:p w14:paraId="735C79ED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5</w:t>
            </w:r>
          </w:p>
        </w:tc>
        <w:tc>
          <w:tcPr>
            <w:tcW w:w="0" w:type="auto"/>
          </w:tcPr>
          <w:p w14:paraId="3DBE6DC3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4D85A4A3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RM</w:t>
            </w:r>
          </w:p>
        </w:tc>
        <w:tc>
          <w:tcPr>
            <w:tcW w:w="0" w:type="auto"/>
          </w:tcPr>
          <w:p w14:paraId="1B09D00B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Guía para la implementación territorial de la Estrategia “Ponte en Modo Niñez”</w:t>
            </w:r>
          </w:p>
        </w:tc>
        <w:tc>
          <w:tcPr>
            <w:tcW w:w="0" w:type="auto"/>
          </w:tcPr>
          <w:p w14:paraId="627EECC4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 bien la estrategia cuenta con Decreto Supremo, los gobiernos locales requieren orientaciones prácticas para implementar acciones que promuevan espacios públicos seguros para niñas, niños y adolescentes.</w:t>
            </w:r>
          </w:p>
        </w:tc>
        <w:tc>
          <w:tcPr>
            <w:tcW w:w="0" w:type="auto"/>
          </w:tcPr>
          <w:p w14:paraId="3A4E12F0" w14:textId="77777777" w:rsidR="00541CEA" w:rsidRDefault="0000000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Decreto Supremo N° 020-2021-MIMP que aprueba la Estrategia Ponte en Modo Niñez.</w:t>
            </w:r>
          </w:p>
        </w:tc>
        <w:tc>
          <w:tcPr>
            <w:tcW w:w="0" w:type="auto"/>
          </w:tcPr>
          <w:p w14:paraId="60396511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Media</w:t>
            </w:r>
          </w:p>
        </w:tc>
        <w:tc>
          <w:tcPr>
            <w:tcW w:w="0" w:type="auto"/>
          </w:tcPr>
          <w:p w14:paraId="14E71BE3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Idea </w:t>
            </w:r>
          </w:p>
        </w:tc>
        <w:tc>
          <w:tcPr>
            <w:tcW w:w="0" w:type="auto"/>
          </w:tcPr>
          <w:p w14:paraId="01259DB9" w14:textId="77777777" w:rsidR="00541CEA" w:rsidRDefault="000000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Julio 2026</w:t>
            </w:r>
          </w:p>
        </w:tc>
        <w:tc>
          <w:tcPr>
            <w:tcW w:w="0" w:type="auto"/>
          </w:tcPr>
          <w:p w14:paraId="1B2075E9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Permitirá orientar a los gobiernos locales en la generación de espacios públicos seguros y protectores para niñas, niños y adolescentes.</w:t>
            </w:r>
          </w:p>
        </w:tc>
      </w:tr>
      <w:tr w:rsidR="00541CEA" w14:paraId="3EEE9467" w14:textId="77777777">
        <w:trPr>
          <w:trHeight w:val="397"/>
        </w:trPr>
        <w:tc>
          <w:tcPr>
            <w:tcW w:w="0" w:type="auto"/>
          </w:tcPr>
          <w:p w14:paraId="1C976F74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6</w:t>
            </w:r>
          </w:p>
        </w:tc>
        <w:tc>
          <w:tcPr>
            <w:tcW w:w="0" w:type="auto"/>
          </w:tcPr>
          <w:p w14:paraId="789B6CBC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7DA75FF4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RD</w:t>
            </w:r>
          </w:p>
          <w:p w14:paraId="191916FE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293D1C8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Lineamientos operativos para la implementación del servicio JUGUEMOS en gobiernos locales y espacios comunitarios</w:t>
            </w:r>
          </w:p>
        </w:tc>
        <w:tc>
          <w:tcPr>
            <w:tcW w:w="0" w:type="auto"/>
          </w:tcPr>
          <w:p w14:paraId="2BE3D8BF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 servicio JUGUEMOS cuenta con normativa vigente, pero se requiere actualizar y fortalecer su implementación. Requiere orientaciones para su articulación con programas sociales, actores territoriales y gobiernos locales, incorporando enfoques de igualdad de género e inclusión y desarrollo de </w:t>
            </w: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capacidades de autoprotección de NNA.</w:t>
            </w:r>
          </w:p>
        </w:tc>
        <w:tc>
          <w:tcPr>
            <w:tcW w:w="0" w:type="auto"/>
          </w:tcPr>
          <w:p w14:paraId="5EFEF139" w14:textId="77777777" w:rsidR="00541CEA" w:rsidRDefault="0000000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Resolución Ministerial N° 175-2016-MIMP</w:t>
            </w:r>
          </w:p>
          <w:p w14:paraId="75790FBD" w14:textId="77777777" w:rsidR="00541CEA" w:rsidRDefault="0000000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Normas complementarias del servicio JUGUEMOS.</w:t>
            </w:r>
          </w:p>
        </w:tc>
        <w:tc>
          <w:tcPr>
            <w:tcW w:w="0" w:type="auto"/>
          </w:tcPr>
          <w:p w14:paraId="405DC56A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Media</w:t>
            </w:r>
          </w:p>
        </w:tc>
        <w:tc>
          <w:tcPr>
            <w:tcW w:w="0" w:type="auto"/>
          </w:tcPr>
          <w:p w14:paraId="686B41CE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Idea</w:t>
            </w:r>
          </w:p>
        </w:tc>
        <w:tc>
          <w:tcPr>
            <w:tcW w:w="0" w:type="auto"/>
          </w:tcPr>
          <w:p w14:paraId="75C874EB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Julio 2026</w:t>
            </w:r>
          </w:p>
        </w:tc>
        <w:tc>
          <w:tcPr>
            <w:tcW w:w="0" w:type="auto"/>
          </w:tcPr>
          <w:p w14:paraId="263A4998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Permitirá ampliar la implementación territorial del servicio.</w:t>
            </w:r>
          </w:p>
          <w:p w14:paraId="25260730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541CEA" w14:paraId="5CD6CCAB" w14:textId="77777777">
        <w:trPr>
          <w:trHeight w:val="397"/>
        </w:trPr>
        <w:tc>
          <w:tcPr>
            <w:tcW w:w="0" w:type="auto"/>
          </w:tcPr>
          <w:p w14:paraId="61C016B2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7</w:t>
            </w:r>
          </w:p>
        </w:tc>
        <w:tc>
          <w:tcPr>
            <w:tcW w:w="0" w:type="auto"/>
          </w:tcPr>
          <w:p w14:paraId="21339E5B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DSLD</w:t>
            </w:r>
          </w:p>
        </w:tc>
        <w:tc>
          <w:tcPr>
            <w:tcW w:w="0" w:type="auto"/>
          </w:tcPr>
          <w:p w14:paraId="544ECDEB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RD</w:t>
            </w:r>
          </w:p>
        </w:tc>
        <w:tc>
          <w:tcPr>
            <w:tcW w:w="0" w:type="auto"/>
          </w:tcPr>
          <w:p w14:paraId="6E3E876F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Actualización de la guía metodológica del servicio JUGUEMOS para el fortalecimiento de capacidades de autoprotección de niñas, niños y adolescentes.</w:t>
            </w:r>
          </w:p>
        </w:tc>
        <w:tc>
          <w:tcPr>
            <w:tcW w:w="0" w:type="auto"/>
          </w:tcPr>
          <w:p w14:paraId="6FDEB012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servicio JUGUEMOS cuenta con guías metodológicas aprobadas mediante resoluciones ministeriales; sin embargo, se requiere actualizar herramientas metodológicas y fortalecer el rol del promotor lúdico para mejorar su implementación en el territorio.</w:t>
            </w:r>
          </w:p>
        </w:tc>
        <w:tc>
          <w:tcPr>
            <w:tcW w:w="0" w:type="auto"/>
          </w:tcPr>
          <w:p w14:paraId="4D15A164" w14:textId="77777777" w:rsidR="00541CEA" w:rsidRDefault="0000000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Resolución Ministerial N° 175-2016-MIMP</w:t>
            </w:r>
          </w:p>
          <w:p w14:paraId="51DD6719" w14:textId="77777777" w:rsidR="00541CEA" w:rsidRDefault="0000000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Normas complementarias del servicio JUGUEMOS.</w:t>
            </w:r>
          </w:p>
        </w:tc>
        <w:tc>
          <w:tcPr>
            <w:tcW w:w="0" w:type="auto"/>
          </w:tcPr>
          <w:p w14:paraId="35C907E5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Media</w:t>
            </w:r>
          </w:p>
        </w:tc>
        <w:tc>
          <w:tcPr>
            <w:tcW w:w="0" w:type="auto"/>
          </w:tcPr>
          <w:p w14:paraId="7C409F8C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Idea</w:t>
            </w:r>
          </w:p>
        </w:tc>
        <w:tc>
          <w:tcPr>
            <w:tcW w:w="0" w:type="auto"/>
          </w:tcPr>
          <w:p w14:paraId="5635C960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Julio 2026</w:t>
            </w:r>
          </w:p>
        </w:tc>
        <w:tc>
          <w:tcPr>
            <w:tcW w:w="0" w:type="auto"/>
          </w:tcPr>
          <w:p w14:paraId="687B4A1B" w14:textId="77777777" w:rsidR="00541CEA" w:rsidRDefault="00000000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Incorporará enfoque de inclusión para niñas, niños y adolescentes con discapacidad.</w:t>
            </w:r>
          </w:p>
        </w:tc>
      </w:tr>
      <w:tr w:rsidR="00541CEA" w14:paraId="3597B88C" w14:textId="77777777">
        <w:trPr>
          <w:trHeight w:val="397"/>
        </w:trPr>
        <w:tc>
          <w:tcPr>
            <w:tcW w:w="0" w:type="auto"/>
          </w:tcPr>
          <w:p w14:paraId="37769450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B2492E2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523CF6E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9D974F1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668346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6AFB1CD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D4509D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C98885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2B3C474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5847560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541CEA" w14:paraId="4751B938" w14:textId="77777777">
        <w:trPr>
          <w:trHeight w:val="397"/>
        </w:trPr>
        <w:tc>
          <w:tcPr>
            <w:tcW w:w="0" w:type="auto"/>
          </w:tcPr>
          <w:p w14:paraId="188F9014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697121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C9E4A2E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F90C5A3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FFAF307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94A3433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EC16E81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DB92CD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3FB30F8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6925848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541CEA" w14:paraId="6418D787" w14:textId="77777777">
        <w:trPr>
          <w:trHeight w:val="397"/>
        </w:trPr>
        <w:tc>
          <w:tcPr>
            <w:tcW w:w="0" w:type="auto"/>
          </w:tcPr>
          <w:p w14:paraId="253B64E0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2999C72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A13AEA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0205CF1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49A5155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F2F042C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19BFBABE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B6BCBA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171EF6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AFA6C48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541CEA" w14:paraId="79C0DF22" w14:textId="77777777">
        <w:trPr>
          <w:trHeight w:val="397"/>
        </w:trPr>
        <w:tc>
          <w:tcPr>
            <w:tcW w:w="0" w:type="auto"/>
          </w:tcPr>
          <w:p w14:paraId="281139ED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7E7F172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8266CAB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523B62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6110FA6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79246B1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1AEEA03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E545CA4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572DA9D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239AD7A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541CEA" w14:paraId="40CB6994" w14:textId="77777777">
        <w:trPr>
          <w:trHeight w:val="397"/>
        </w:trPr>
        <w:tc>
          <w:tcPr>
            <w:tcW w:w="0" w:type="auto"/>
          </w:tcPr>
          <w:p w14:paraId="773D15E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D7F6908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1BED57D0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B4E7C6F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D089F2B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1ECEFD61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5DB3407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567B673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6CF45AD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8B0C6E7" w14:textId="77777777" w:rsidR="00541CEA" w:rsidRDefault="00541CEA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69E2E8D" w14:textId="77777777" w:rsidR="00541CEA" w:rsidRDefault="00541CEA">
      <w:pPr>
        <w:rPr>
          <w:rFonts w:ascii="Arial" w:hAnsi="Arial" w:cs="Arial"/>
          <w:lang w:val="es-ES"/>
        </w:rPr>
      </w:pPr>
    </w:p>
    <w:sectPr w:rsidR="00541CE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045E" w14:textId="77777777" w:rsidR="007C7EC3" w:rsidRDefault="007C7EC3">
      <w:pPr>
        <w:spacing w:line="240" w:lineRule="auto"/>
      </w:pPr>
      <w:r>
        <w:separator/>
      </w:r>
    </w:p>
  </w:endnote>
  <w:endnote w:type="continuationSeparator" w:id="0">
    <w:p w14:paraId="607A7A7C" w14:textId="77777777" w:rsidR="007C7EC3" w:rsidRDefault="007C7E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9F965" w14:textId="77777777" w:rsidR="007C7EC3" w:rsidRDefault="007C7EC3">
      <w:pPr>
        <w:spacing w:after="0"/>
      </w:pPr>
      <w:r>
        <w:separator/>
      </w:r>
    </w:p>
  </w:footnote>
  <w:footnote w:type="continuationSeparator" w:id="0">
    <w:p w14:paraId="301B0C59" w14:textId="77777777" w:rsidR="007C7EC3" w:rsidRDefault="007C7E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3663"/>
    <w:multiLevelType w:val="multilevel"/>
    <w:tmpl w:val="195A366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76022"/>
    <w:multiLevelType w:val="multilevel"/>
    <w:tmpl w:val="1FC760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530E6"/>
    <w:multiLevelType w:val="multilevel"/>
    <w:tmpl w:val="4A253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94D26"/>
    <w:multiLevelType w:val="multilevel"/>
    <w:tmpl w:val="4B694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629900">
    <w:abstractNumId w:val="1"/>
  </w:num>
  <w:num w:numId="2" w16cid:durableId="533082304">
    <w:abstractNumId w:val="3"/>
  </w:num>
  <w:num w:numId="3" w16cid:durableId="1176455596">
    <w:abstractNumId w:val="2"/>
  </w:num>
  <w:num w:numId="4" w16cid:durableId="167290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97"/>
    <w:rsid w:val="00030B4C"/>
    <w:rsid w:val="000838CF"/>
    <w:rsid w:val="001B3F3F"/>
    <w:rsid w:val="00250936"/>
    <w:rsid w:val="003067AB"/>
    <w:rsid w:val="00441E20"/>
    <w:rsid w:val="004A01BC"/>
    <w:rsid w:val="00541CEA"/>
    <w:rsid w:val="00570B33"/>
    <w:rsid w:val="00594C0D"/>
    <w:rsid w:val="00621FA7"/>
    <w:rsid w:val="00624301"/>
    <w:rsid w:val="007C7EC3"/>
    <w:rsid w:val="00896DA1"/>
    <w:rsid w:val="0094060B"/>
    <w:rsid w:val="0094307E"/>
    <w:rsid w:val="00B61597"/>
    <w:rsid w:val="00BA1389"/>
    <w:rsid w:val="00C14828"/>
    <w:rsid w:val="00D640F1"/>
    <w:rsid w:val="00D73943"/>
    <w:rsid w:val="00DE0616"/>
    <w:rsid w:val="00E45461"/>
    <w:rsid w:val="00E6652B"/>
    <w:rsid w:val="00EA6599"/>
    <w:rsid w:val="00F43993"/>
    <w:rsid w:val="00FE5EDE"/>
    <w:rsid w:val="2B25131B"/>
    <w:rsid w:val="7E4D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6CF8B"/>
  <w15:docId w15:val="{0189563D-7079-40AC-A357-CEA8F65C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clara1">
    <w:name w:val="Tabla con cuadrícula clara1"/>
    <w:basedOn w:val="Tabla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0F08-B109-4F4C-B8A8-669A9641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763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Mimp Mujer</dc:creator>
  <cp:lastModifiedBy>Gabriel Armando Baltazar Melgarejo</cp:lastModifiedBy>
  <cp:revision>8</cp:revision>
  <dcterms:created xsi:type="dcterms:W3CDTF">2026-03-12T18:21:00Z</dcterms:created>
  <dcterms:modified xsi:type="dcterms:W3CDTF">2026-03-12T19:55:00Z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C2EF9C9E668849CD80A694EF9FD84B0A_13</vt:lpwstr>
  </property>
</Properties>
</file>