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</w:rPr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AYUDA MEMORIA</w:t>
      </w:r>
      <w:r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color w:val="2f5496" w:themeColor="accent1" w:themeShade="BF"/>
          <w:sz w:val="22"/>
          <w:szCs w:val="22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</w:rPr>
      </w:r>
      <w:r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PIURA</w:t>
      </w:r>
      <w:r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r>
      <w:r>
        <w:rPr>
          <w:color w:val="2f5496" w:themeColor="accent1" w:themeShade="BF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none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(</w:t>
      </w:r>
      <w:r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27.03.2026</w:t>
      </w:r>
      <w:r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) </w:t>
      </w:r>
      <w:r>
        <w:rPr>
          <w:rFonts w:ascii="Arial" w:hAnsi="Arial" w:cs="Arial"/>
          <w:b/>
          <w:color w:val="2f5496" w:themeColor="accent1" w:themeShade="BF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tbl>
      <w:tblPr>
        <w:tblStyle w:val="1053"/>
        <w:tblW w:w="0" w:type="auto"/>
        <w:tblBorders/>
        <w:tblLook w:val="04A0" w:firstRow="1" w:lastRow="0" w:firstColumn="1" w:lastColumn="0" w:noHBand="0" w:noVBand="1"/>
      </w:tblPr>
      <w:tblGrid>
        <w:gridCol w:w="8931"/>
      </w:tblGrid>
      <w:tr>
        <w:trPr>
          <w:trHeight w:val="1256"/>
        </w:trPr>
        <w:tc>
          <w:tcPr>
            <w:tcBorders/>
            <w:tcW w:w="89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La Dirección General de Niñas, Niños y Adolescentes (DGNNA) es responsable de formular, dirigir, articular, implementar, supervisar y evaluar políticas, normas, planes y programas en favor de la niñez y adolescencia. Su misión es promover el bienestar y de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sarrollo integral de esta población, especialmente de aquellos en situación de riesgo, discriminación, violencia y vulnerabilidad. La DGNNA también coordina, dentro del sector, con otras Direcciones y Programas Nacionales, la formulación e implementación d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e políticas nacionales relacionadas con la niñez y adolescencia. Además, ejerce la función de autoridad central en casos de sustracción internacional de menores y articula con diversos actores para implementar y monitorear dichas políticas.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Depende del Viceministerio de Poblaciones Vulnerables, y conforme al Reglamento de Organización y Funciones del MIMP (Resolución Ministerial N° 362-2023-MIMP), la DGNNA cuenta con cuatro unidades orgánicas: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</w:rPr>
              <w:t xml:space="preserve">1. Dirección de Políticas para Niñas, Niños y Adolescentes.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Es responsable de formular, coordinar la implementación, realizar el seguimiento y evaluar la Política Nacional Multisectorial para las Niñas, Niños y Adolescentes. Asimismo, articula las intervenciones de las problemáticas en trata de personas y explotaci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ón sexual de niñas, niños y adolescentes. Realiza el seguimiento al cumplimiento de la Convención sobre los Derechos del Niño y sus protocolos facultativos. Además, es responsable de acreditar y supervisar a los Centros de Acogida Residencial.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</w:rPr>
              <w:t xml:space="preserve">2. Dirección de Sistemas Locales y Defensorías.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Responsable de promover, conducir, acreditar, normar, coordinar y supervisar el servicio de Defensorías de la Niña, Niño y Adolescente a nivel nacional, así como capacitar a sus integrantes para que brinden un servicio de calidad. Asimismo, promueve el des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arrollo de los Sistemas de Protección Local en el marco de la Política Nacional Multisectorial para las Niñas, Niños y Adolescentes y del Sistema de Atención Integral al Niño, Niña y Adolescente; la participación y el derecho al juego de niñas, niños y ado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lescentes y coordina la implementación de las políticas orientadas a garantizar una vida libre de violencia hacia las niñas, niños y adolescente.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</w:rPr>
              <w:t xml:space="preserve">3. Dirección de Adopciones.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Responsable de proponer, dirigir, articular, implementar, supervisar y evaluar las políticas, normas, planes, programas y proyectos sobre la Adopción de niños, niñas y adolescentes. Además, es la única instancia encargada de tramitar las solicitudes admini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strativas de adopción de los niños, niñas y adolescentes declarados judicialmente en desprotección familiar y adoptabilidad.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</w:rPr>
              <w:t xml:space="preserve">4. Dirección de Protección Especial.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themeColor="background1" w:fill="ffffff" w:themeFill="background1"/>
              <w:spacing w:line="276" w:lineRule="atLeast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Responsable de formular y coordinar la implementación de estrategias para la protección de niñas, niños y adolescentes en desprotección familiar, garantizando su derecho a vivir en familia, de conformidad a lo establecido en la normativa y convenios suscri</w:t>
            </w: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tos sobre la materia. Asimismo, brinda asistencia técnica, apoya a la gestión, supervisa las Unidades de Protección Especial y promueve el acogimiento familiar a nivel nacional.</w:t>
            </w:r>
            <w:r/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Liberation Sans" w:hAnsi="Liberation Sans" w:eastAsia="Liberation Sans" w:cs="Liberation Sans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4"/>
              </w:rPr>
            </w:r>
          </w:p>
        </w:tc>
      </w:tr>
    </w:tbl>
    <w:p>
      <w:pPr>
        <w:pBdr/>
        <w:spacing w:after="0" w:line="240" w:lineRule="auto"/>
        <w:ind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 w:after="0" w:line="240" w:lineRule="auto"/>
        <w:ind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 w:after="0" w:line="240" w:lineRule="auto"/>
        <w:ind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 w:after="0" w:line="240" w:lineRule="auto"/>
        <w:ind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 w:after="0" w:line="240" w:lineRule="auto"/>
        <w:ind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sz w:val="22"/>
          <w:szCs w:val="22"/>
          <w14:ligatures w14:val="standardContextual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  <w14:ligatures w14:val="standardContextual"/>
        </w:rPr>
        <w:t xml:space="preserve">                     </w:t>
      </w:r>
      <w:r>
        <w:rPr>
          <w:rFonts w:ascii="Arial" w:hAnsi="Arial" w:cs="Arial"/>
          <w:sz w:val="22"/>
          <w:szCs w:val="22"/>
          <w14:ligatures w14:val="standardContextual"/>
        </w:rPr>
      </w:r>
    </w:p>
    <w:p>
      <w:pPr>
        <w:pBdr/>
        <w:shd w:val="clear" w:color="auto" w:fill="e7e6e6" w:themeFill="background2"/>
        <w:spacing w:line="240" w:lineRule="auto"/>
        <w:ind/>
        <w:jc w:val="both"/>
        <w:rPr>
          <w:rFonts w:ascii="Arial" w:hAnsi="Arial" w:cs="Arial"/>
          <w:b/>
          <w:bCs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w:t xml:space="preserve">Dirección de Adopciones</w:t>
      </w:r>
      <w:r>
        <w:rPr>
          <w:rFonts w:ascii="Arial" w:hAnsi="Arial" w:cs="Arial"/>
          <w:b/>
          <w:bCs/>
          <w:sz w:val="22"/>
          <w:szCs w:val="22"/>
        </w:rPr>
        <w:t xml:space="preserve"> (DA</w:t>
      </w:r>
      <w:r>
        <w:rPr>
          <w:rFonts w:ascii="Arial" w:hAnsi="Arial" w:cs="Arial"/>
          <w:b/>
          <w:bCs/>
          <w:sz w:val="22"/>
          <w:szCs w:val="22"/>
        </w:rPr>
        <w:t xml:space="preserve">)</w:t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sz w:val="22"/>
          <w:szCs w:val="22"/>
          <w:u w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La Dirección de Adopciones, cuenta con 8 oficinas a nivel nacional que actúan en el procedimiento por adopción de niñas, niños y adolescentes declarados judicialmente en desprotección familiar y adoptabilidad. Entre ellas tenemos la oficina de Lambayeque,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cuya competencia territorial esta abarca a los departamentos de: Lambayeque, Amazonas,</w:t>
      </w:r>
      <w:r>
        <w:rPr>
          <w:rFonts w:ascii="Calibri" w:hAnsi="Calibri" w:eastAsia="Calibri" w:cs="Calibri"/>
          <w:color w:val="000000"/>
          <w:sz w:val="22"/>
          <w:szCs w:val="22"/>
          <w:u w:val="none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2"/>
          <w:szCs w:val="22"/>
          <w:u w:val="none"/>
        </w:rPr>
        <w:t xml:space="preserve">Piura</w:t>
      </w:r>
      <w:r>
        <w:rPr>
          <w:rFonts w:ascii="Calibri" w:hAnsi="Calibri" w:eastAsia="Calibri" w:cs="Calibri"/>
          <w:color w:val="000000"/>
          <w:sz w:val="22"/>
          <w:szCs w:val="22"/>
          <w:u w:val="none"/>
        </w:rPr>
        <w:t xml:space="preserve">,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Tumbes y San Martín</w:t>
      </w:r>
      <w:r>
        <w:rPr>
          <w:sz w:val="22"/>
          <w:szCs w:val="22"/>
          <w:u w:val="none"/>
        </w:rPr>
      </w:r>
      <w:r>
        <w:rPr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</w:rPr>
        <w:t xml:space="preserve">En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los últimos 3 años y hasta la fecha se aprobó la adopción de 487 niñas</w:t>
      </w:r>
      <w:r>
        <w:rPr>
          <w:rFonts w:ascii="Arial" w:hAnsi="Arial" w:cs="Arial"/>
          <w:sz w:val="22"/>
          <w:szCs w:val="22"/>
        </w:rPr>
        <w:t xml:space="preserve">, niños y adolescentes de los cuales </w:t>
      </w:r>
      <w:r>
        <w:rPr>
          <w:rFonts w:ascii="Arial" w:hAnsi="Arial" w:cs="Arial"/>
          <w:b/>
          <w:bCs/>
          <w:sz w:val="22"/>
          <w:szCs w:val="22"/>
        </w:rPr>
        <w:t xml:space="preserve">13 provenían de CARs ubicados en la región de PIURA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  <w:t xml:space="preserve">Así mismo, se realizaron 50 informes de seguimientos postadoptivos a niñas, niños y adolescentes adoptados de la región Piura.</w:t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Y también, se evaluó a 09 familias solicitantes de adopción procedentes de la región Piura para determinar su idoneidad.</w:t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ascii="Arial" w:hAnsi="Arial" w:cs="Arial"/>
          <w:sz w:val="22"/>
          <w:szCs w:val="22"/>
        </w:rPr>
      </w:pPr>
      <w:r>
        <w:rPr>
          <w:rFonts w:cstheme="minorHAnsi"/>
          <w:b/>
          <w:bCs/>
          <w:sz w:val="22"/>
          <w:szCs w:val="22"/>
          <w:highlight w:val="none"/>
          <w:lang w:val="es-MX"/>
        </w:rPr>
      </w:r>
      <w:r>
        <w:rPr>
          <w:rFonts w:cstheme="minorHAnsi"/>
          <w:b/>
          <w:bCs/>
          <w:sz w:val="22"/>
          <w:szCs w:val="22"/>
          <w:highlight w:val="none"/>
          <w:lang w:val="es-MX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hd w:val="clear" w:color="auto" w:fill="e7e6e6" w:themeFill="background2"/>
        <w:tabs>
          <w:tab w:val="left" w:leader="none" w:pos="851"/>
        </w:tabs>
        <w:spacing w:line="240" w:lineRule="auto"/>
        <w:ind w:right="44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w:t xml:space="preserve">Dirección de Sistemas Locales y Defensorías</w:t>
      </w:r>
      <w:r>
        <w:rPr>
          <w:rFonts w:ascii="Arial" w:hAnsi="Arial" w:cs="Arial"/>
          <w:b/>
          <w:bCs/>
          <w:sz w:val="22"/>
          <w:szCs w:val="22"/>
        </w:rPr>
        <w:t xml:space="preserve"> (DSLD</w:t>
      </w:r>
      <w:r>
        <w:rPr>
          <w:rFonts w:ascii="Arial" w:hAnsi="Arial" w:cs="Arial"/>
          <w:b/>
          <w:bCs/>
          <w:sz w:val="22"/>
          <w:szCs w:val="22"/>
        </w:rPr>
        <w:t xml:space="preserve">)</w:t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tabs>
          <w:tab w:val="left" w:leader="none" w:pos="426"/>
        </w:tabs>
        <w:spacing w:after="0" w:line="240" w:lineRule="auto"/>
        <w:ind w:right="44" w:firstLine="0" w:left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highlight w:val="none"/>
          <w:u w:val="single"/>
        </w:rPr>
      </w:r>
      <w:r>
        <w:rPr>
          <w:rFonts w:ascii="Arial" w:hAnsi="Arial" w:cs="Arial"/>
          <w:b/>
          <w:bCs/>
          <w:sz w:val="22"/>
          <w:szCs w:val="22"/>
          <w:highlight w:val="none"/>
          <w:u w:val="single"/>
        </w:rPr>
      </w:r>
    </w:p>
    <w:p>
      <w:pPr>
        <w:pStyle w:val="1039"/>
        <w:numPr>
          <w:ilvl w:val="0"/>
          <w:numId w:val="96"/>
        </w:numPr>
        <w:pBdr/>
        <w:tabs>
          <w:tab w:val="left" w:leader="none" w:pos="426"/>
        </w:tabs>
        <w:spacing w:after="0" w:line="240" w:lineRule="auto"/>
        <w:ind w:right="44"/>
        <w:jc w:val="both"/>
        <w:rPr>
          <w:rFonts w:ascii="Arial" w:hAnsi="Arial" w:cs="Arial"/>
          <w:b/>
          <w:bCs/>
          <w:sz w:val="22"/>
          <w:szCs w:val="22"/>
          <w:highlight w:val="none"/>
          <w:u w:val="none"/>
        </w:rPr>
      </w:pPr>
      <w:r>
        <w:rPr>
          <w:rFonts w:ascii="Arial" w:hAnsi="Arial" w:cs="Arial"/>
          <w:b/>
          <w:bCs/>
          <w:sz w:val="22"/>
          <w:szCs w:val="22"/>
          <w:u w:val="none"/>
        </w:rPr>
        <w:t xml:space="preserve">Acreditación de la DEMUNA: </w:t>
      </w:r>
      <w:r>
        <w:rPr>
          <w:rFonts w:ascii="Arial" w:hAnsi="Arial" w:cs="Arial"/>
          <w:b/>
          <w:bCs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2f5496" w:themeColor="accent1" w:themeShade="BF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2f5496" w:themeColor="accent1" w:themeShade="BF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2f5496" w:themeColor="accent1" w:themeShade="BF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El Alcalde y el Defensor Responsable de la DEMUNA solicitan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a la Dirección de Sistemas Locales y Defensorías (DSLD) de la Dirección General de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 Niñas, Niños y Adolescentes del MIMP;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la acreditación de la DEMUNA para actuar en el procedimiento por riesgo de desprotección familiar de niñas, niños y adole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s-MX"/>
        </w:rPr>
        <w:t xml:space="preserve">scentes,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s-MX"/>
        </w:rPr>
        <w:t xml:space="preserve"> de conformidad con lo estipulado e el artículo 11 del</w:t>
      </w: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b w:val="0"/>
          <w:bCs w:val="0"/>
          <w:color w:val="000000" w:themeColor="text1"/>
          <w:sz w:val="22"/>
          <w:szCs w:val="22"/>
        </w:rPr>
        <w:t xml:space="preserve">Decreto Legislativo N° 1297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  <w:t xml:space="preserve"> y según el procedimiento señalado en los artículos 10, 11 y 12 del Reglamento del servicio de las DNA, aprobado por Decreto Supremo N° 005-2019-MIMP, modificado por Decreto Supremo N° 003-2023-MIMP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A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la fecha se tiene 63 DEMUNA operativas de las 65 municipalidades del departamento, lo que significa una cobertura del 97%; por otro lado se tiene que 57 DEMUNA se encuentran acreditadas, lo que significa una cobertura del 88%.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426"/>
        <w:jc w:val="both"/>
        <w:rPr>
          <w:rFonts w:ascii="Arial" w:hAnsi="Arial" w:eastAsia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 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>
      <w:pPr>
        <w:pStyle w:val="1039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both"/>
        <w:rPr>
          <w:color w:val="000000" w:themeColor="text1"/>
          <w:sz w:val="22"/>
          <w:szCs w:val="22"/>
          <w:highlight w:val="none"/>
          <w:u w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Fortalecimiento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u w:val="none"/>
        </w:rPr>
        <w:t xml:space="preserve"> de capacidades de defensores y defensoras:</w:t>
      </w:r>
      <w:r>
        <w:rPr>
          <w:rFonts w:ascii="Arial" w:hAnsi="Arial" w:eastAsia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color w:val="000000" w:themeColor="text1"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La DSLD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 desarrolla y promueve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procesos de capacitación dirigidos a los/las integrantes de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la DNA, a fin de fortalecer sus capacidades y contribuir a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su especialización en la temática de niñez y adolescencia,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  <w14:ligatures w14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con estándares que permitan garantizar una atención de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calidad en el servicio.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  <w14:ligatures w14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En el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present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e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 año se capacitó a 12 defensores en el curso “Formación de defensores/as”.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:u w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Supervisión de DEMUNA: </w:t>
      </w:r>
      <w:r>
        <w:rPr>
          <w:color w:val="000000" w:themeColor="text1"/>
          <w:sz w:val="22"/>
          <w:szCs w:val="22"/>
          <w:highlight w:val="none"/>
          <w:u w:val="none"/>
        </w:rPr>
      </w:r>
      <w:r>
        <w:rPr>
          <w:color w:val="000000" w:themeColor="text1"/>
          <w:sz w:val="22"/>
          <w:szCs w:val="22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color w:val="000000" w:themeColor="text1"/>
          <w:sz w:val="22"/>
          <w:szCs w:val="22"/>
        </w:rPr>
        <w:t xml:space="preserve">Acción inopinada de verificación de la labor que realiza la DNA, en congruencia con las normas que regulan dicho servicio. A través de la supervisión se informa, orienta y asiste a los/las integrantes de la DNA en el cumplimiento de sus funciones.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En el mes de marzo se realizaron 20 visitas de supervisión a DEMUNA del departamento, lo que contribuye a mejorar la calidad de la atención al ser una 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asesoría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 personalizada.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1039"/>
        <w:numPr>
          <w:ilvl w:val="0"/>
          <w:numId w:val="93"/>
        </w:numPr>
        <w:pBdr/>
        <w:spacing/>
        <w:ind/>
        <w:rPr>
          <w:rFonts w:ascii="Arial" w:hAnsi="Arial" w:eastAsia="Arial" w:cs="Arial"/>
          <w:sz w:val="22"/>
          <w:szCs w:val="22"/>
          <w:highlight w:val="none"/>
          <w:u w:val="none"/>
        </w:rPr>
      </w:pPr>
      <w:r>
        <w:rPr>
          <w:sz w:val="22"/>
          <w:szCs w:val="22"/>
          <w:u w:val="none"/>
        </w:rPr>
      </w:r>
      <w:r>
        <w:rPr>
          <w:rFonts w:ascii="Arial" w:hAnsi="Arial" w:cs="Arial"/>
          <w:b/>
          <w:bCs/>
          <w:sz w:val="22"/>
          <w:szCs w:val="22"/>
          <w:u w:val="none"/>
        </w:rPr>
        <w:t xml:space="preserve">Estrategia</w:t>
      </w:r>
      <w:r>
        <w:rPr>
          <w:rFonts w:ascii="Arial" w:hAnsi="Arial" w:eastAsia="Arial" w:cs="Arial"/>
          <w:b/>
          <w:sz w:val="22"/>
          <w:szCs w:val="22"/>
          <w:u w:val="none"/>
        </w:rPr>
        <w:t xml:space="preserve"> “Ponte en #ModoNiñez”:</w:t>
      </w:r>
      <w:r>
        <w:rPr>
          <w:rFonts w:ascii="Arial" w:hAnsi="Arial" w:eastAsia="Arial" w:cs="Arial"/>
          <w:sz w:val="22"/>
          <w:szCs w:val="22"/>
          <w:u w:val="none"/>
        </w:rPr>
        <w:t xml:space="preserve"> </w:t>
      </w:r>
      <w:r>
        <w:rPr>
          <w:sz w:val="22"/>
          <w:szCs w:val="22"/>
          <w:u w:val="none"/>
        </w:rPr>
      </w:r>
      <w:r>
        <w:rPr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2f5496" w:themeColor="accent1" w:themeShade="BF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2f5496" w:themeColor="accent1" w:themeShade="BF"/>
          <w:sz w:val="22"/>
          <w:szCs w:val="22"/>
          <w:highlight w:val="none"/>
        </w:rPr>
      </w:r>
      <w:r>
        <w:rPr>
          <w:rFonts w:ascii="Arial" w:hAnsi="Arial" w:eastAsia="Arial" w:cs="Arial"/>
          <w:color w:val="2f5496" w:themeColor="accent1" w:themeShade="BF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Tiene como objetivo promover una sociedad protectora para las niñas, niños y adolescentes desde el espacio local, mediante la incorporación del enfoque de derecho de niñas, niños y adolescentes en la gestión institucional y la prevención de situaciones de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riesgo de vulneración sus derechos. Asimismo, busca garantizar espacios públicos seguros para las niñas, niños y adolescentes, en los que se pueda disfrutar en familia, con mensajes hacia los padres, madres y cuidadores a fin de orientar su rol de cuidado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y su relación con sus hijos/as.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A la fecha, 28 municipalidades (6 provinciales y 22 distritales) vienen participando en la estrategia “Ponte en #ModoNiñez”. Para el presente año, se realizó asesoría técnica para que puedan presentar su expediente de cumplimiento de indicadores de la estrategia a las municipalidades de Sóndor, El Carmen de la Frontera, Sullana, Chulucanas, Castilla, Veintiseis de Octubre, Los Órganos y Vichayal.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</w:p>
    <w:p>
      <w:pPr>
        <w:pStyle w:val="1039"/>
        <w:pBdr/>
        <w:tabs>
          <w:tab w:val="left" w:leader="none" w:pos="426"/>
        </w:tabs>
        <w:spacing w:after="0" w:line="240" w:lineRule="auto"/>
        <w:ind w:right="44" w:left="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1039"/>
        <w:numPr>
          <w:ilvl w:val="0"/>
          <w:numId w:val="92"/>
        </w:numPr>
        <w:pBdr/>
        <w:tabs>
          <w:tab w:val="left" w:leader="none" w:pos="426"/>
        </w:tabs>
        <w:spacing w:after="0" w:line="240" w:lineRule="auto"/>
        <w:ind w:right="44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:u w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Consejo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u w:val="none"/>
        </w:rPr>
        <w:t xml:space="preserve"> Consultivo y participativo de Niñas, Niños y Adolescentes - CCONNA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u w:val="none"/>
        </w:rPr>
        <w:t xml:space="preserve">:</w:t>
      </w:r>
      <w:r>
        <w:rPr>
          <w:rFonts w:ascii="Arial" w:hAnsi="Arial" w:eastAsia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color w:val="000000" w:themeColor="text1"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Es un espaci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o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propositivo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d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 carácter consultivo, conformado por niñas, niños y adolescentes entre los ocho (08) y diecisiete (17) años de edad, elegidos de forma democrática por sus pares, con el objetivo de participar en la formulación de políticas públicas en materia de niñez y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adolescencia, emitiendo opiniones, observaciones, elevar propuestas y apoyar en los mecanismos de vigilancia del Sistema Nacional de Atención del Niño, Niña y Adolescentes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En el departamento de Piura se tienen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60 CCONNA distritales conformados (92% de cobertura), 8 CCONNA provinciales (100% de cobertura) y el CCONNA regional.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 Por otro lado, se tiene que 403 niñas, niños y adolescentes integran estos CCONNA.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Style w:val="1039"/>
        <w:pBdr/>
        <w:tabs>
          <w:tab w:val="left" w:leader="none" w:pos="567"/>
        </w:tabs>
        <w:spacing w:after="0" w:line="240" w:lineRule="auto"/>
        <w:ind w:right="44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1039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/>
        <w:jc w:val="both"/>
        <w:rPr>
          <w:color w:val="000000" w:themeColor="text1"/>
          <w:sz w:val="22"/>
          <w:szCs w:val="22"/>
          <w:u w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Servicio JUGUEMOS en tu DEMUNA</w:t>
      </w:r>
      <w:r>
        <w:rPr>
          <w:color w:val="000000" w:themeColor="text1"/>
          <w:sz w:val="22"/>
          <w:szCs w:val="22"/>
          <w:u w:val="none"/>
        </w:rPr>
        <w:t xml:space="preserve">:</w:t>
      </w:r>
      <w:r>
        <w:rPr>
          <w:color w:val="000000" w:themeColor="text1"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Tiene como objetivo desarrollar capacidades de autoprotección y fomentar habilidades sociales de las niñas, niños y adolescentes, a través de metodologías lúdicas.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En el presente año, se atendieron 34 niñas y niños en los servicios ubicados en los el distrito de Los Órganos y la provincia de Paita.</w:t>
      </w:r>
      <w:r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r>
    </w:p>
    <w:p>
      <w:pPr>
        <w:pStyle w:val="1039"/>
        <w:pBdr/>
        <w:tabs>
          <w:tab w:val="left" w:leader="none" w:pos="567"/>
        </w:tabs>
        <w:spacing w:after="0" w:line="240" w:lineRule="auto"/>
        <w:ind w:right="44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1039"/>
        <w:pBdr/>
        <w:tabs>
          <w:tab w:val="left" w:leader="none" w:pos="567"/>
        </w:tabs>
        <w:spacing w:after="0" w:line="240" w:lineRule="auto"/>
        <w:ind w:right="44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1039"/>
        <w:pBdr/>
        <w:shd w:val="clear" w:color="auto" w:fill="e7e6e6" w:themeFill="background2"/>
        <w:tabs>
          <w:tab w:val="left" w:leader="none" w:pos="567"/>
          <w:tab w:val="left" w:leader="none" w:pos="7346"/>
        </w:tabs>
        <w:spacing w:after="0" w:line="240" w:lineRule="auto"/>
        <w:ind w:right="44" w:left="0"/>
        <w:jc w:val="both"/>
        <w:rPr>
          <w:rFonts w:ascii="Arial" w:hAnsi="Arial" w:cs="Arial"/>
          <w:b/>
          <w:bCs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w:t xml:space="preserve">DIRECCIÓN DE POLÍTICAS DE NIÑAS, NIÑOS Y ADOLESCENTES</w:t>
      </w:r>
      <w:r>
        <w:rPr>
          <w:rFonts w:ascii="Arial" w:hAnsi="Arial" w:cs="Arial"/>
          <w:b/>
          <w:bCs/>
          <w:sz w:val="22"/>
          <w:szCs w:val="22"/>
        </w:rPr>
        <w:t xml:space="preserve"> (DPNNA)</w:t>
        <w:tab/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Style w:val="1039"/>
        <w:pBdr/>
        <w:tabs>
          <w:tab w:val="left" w:leader="none" w:pos="567"/>
        </w:tabs>
        <w:spacing w:after="0" w:line="240" w:lineRule="auto"/>
        <w:ind w:right="44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tabs>
          <w:tab w:val="left" w:leader="none" w:pos="426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b/>
          <w:bCs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u w:val="singl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u w:val="single"/>
        </w:rPr>
      </w:r>
    </w:p>
    <w:p>
      <w:pPr>
        <w:pStyle w:val="1039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before="0"/>
        <w:ind w:right="44"/>
        <w:jc w:val="both"/>
        <w:rPr>
          <w:rFonts w:ascii="Arial" w:hAnsi="Arial" w:eastAsia="Arial" w:cs="Arial"/>
          <w:b/>
          <w:bCs/>
          <w:sz w:val="22"/>
          <w:szCs w:val="22"/>
          <w:u w:val="none"/>
          <w14:ligatures w14:val="none"/>
        </w:rPr>
      </w:pPr>
      <w:r>
        <w:rPr>
          <w:rFonts w:ascii="Arial" w:hAnsi="Arial" w:eastAsia="Arial" w:cs="Arial"/>
          <w:b/>
          <w:bCs/>
          <w:sz w:val="22"/>
          <w:szCs w:val="22"/>
          <w:u w:val="none"/>
        </w:rPr>
        <w:t xml:space="preserve">La Acreditación de Centros de Acogida Residencial de Niñas,  Niños y Adolescentes:</w:t>
      </w:r>
      <w:r>
        <w:rPr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  <w:u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:highlight w:val="none"/>
          <w:lang w:val="es-MX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Es el procedimiento que se inicia a pedido de parte, a través del cual la DPNNA, evalúa y otorga constancia que el CAR de Urgencia, Básico o Especializado de acuerdo con su perfil de atención que, cuenta con las condiciones que permiten la atención adecuad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a a las niñas, niños y adolescentes que acogen, lo cual implica el cumplimiento de los estándares de calidad, para la prestación del servicio y su correcto funcionamien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to.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 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sz w:val="22"/>
          <w:szCs w:val="22"/>
          <w:highlight w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En la Región Piura cuenta con cuatro 04 Centros de Acogida Residencial (CAR) registrados en la base de datos de la DPNNA, de los cuales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02 (50%) CAR se encuentran acreditados: la Aldea Infantil Señor de la Exaltación (administrada por el Gobierno Regional) y el Hogar Santa Rosa (administrada por entidad privada).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 Estos CAR cumplen con las condiciones mínimas requeridas, garantizando una atención adecuada a niñas, niños y adolescentes, conforme a los estándares de calidad para la prestación del servicio y su correcto funcionamiento</w:t>
      </w:r>
      <w:r>
        <w:rPr>
          <w:rFonts w:ascii="Calibri" w:hAnsi="Calibri" w:eastAsia="Calibri" w:cs="Calibri"/>
          <w:color w:val="212529"/>
          <w:sz w:val="22"/>
          <w:szCs w:val="22"/>
          <w:highlight w:val="white"/>
        </w:rPr>
        <w:t xml:space="preserve">.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tbl>
      <w:tblPr>
        <w:tblStyle w:val="1053"/>
        <w:tblW w:w="0" w:type="auto"/>
        <w:tblInd w:w="96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1940"/>
        <w:gridCol w:w="940"/>
        <w:gridCol w:w="1218"/>
        <w:gridCol w:w="1720"/>
        <w:gridCol w:w="1743"/>
        <w:gridCol w:w="1274"/>
      </w:tblGrid>
      <w:tr>
        <w:trPr>
          <w:trHeight w:val="266"/>
        </w:trPr>
        <w:tc>
          <w:tcPr>
            <w:shd w:val="clear" w:color="d9d9d9" w:fill="d9d9d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/>
              <w:ind w:right="0" w:firstLine="0" w:left="0"/>
              <w:jc w:val="left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16"/>
              </w:rPr>
              <w:t xml:space="preserve">Nombre</w:t>
            </w:r>
            <w:r/>
          </w:p>
        </w:tc>
        <w:tc>
          <w:tcPr>
            <w:shd w:val="clear" w:color="d9d9d9" w:fill="d9d9d9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16"/>
              </w:rPr>
              <w:t xml:space="preserve">Distrito</w:t>
            </w:r>
            <w:r/>
          </w:p>
        </w:tc>
        <w:tc>
          <w:tcPr>
            <w:shd w:val="clear" w:color="d9d9d9" w:fill="d9d9d9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18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16"/>
              </w:rPr>
              <w:t xml:space="preserve">Administración del CAR</w:t>
            </w:r>
            <w:r/>
          </w:p>
        </w:tc>
        <w:tc>
          <w:tcPr>
            <w:shd w:val="clear" w:color="d9d9d9" w:fill="d9d9d9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2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16"/>
              </w:rPr>
              <w:t xml:space="preserve">Nombre del Director/a del CAR</w:t>
            </w:r>
            <w:r/>
          </w:p>
        </w:tc>
        <w:tc>
          <w:tcPr>
            <w:shd w:val="clear" w:color="d9d9d9" w:fill="d9d9d9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43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16"/>
              </w:rPr>
              <w:t xml:space="preserve">Teléfono del Director/a del CAR</w:t>
            </w:r>
            <w:r/>
          </w:p>
        </w:tc>
        <w:tc>
          <w:tcPr>
            <w:shd w:val="clear" w:color="d9d9d9" w:fill="d9d9d9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4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16"/>
              </w:rPr>
              <w:t xml:space="preserve">Estado de Acreditación</w:t>
            </w:r>
            <w:r/>
          </w:p>
        </w:tc>
      </w:tr>
      <w:tr>
        <w:trPr>
          <w:trHeight w:val="254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left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Aldea Infantil Señor de la Exaltación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Huarmaca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18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Gobierno Regional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2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Irfa Edith Huancas Torres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43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979199026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4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Acreditado</w:t>
            </w:r>
            <w:r/>
          </w:p>
        </w:tc>
      </w:tr>
      <w:tr>
        <w:trPr>
          <w:trHeight w:val="241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left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Aldea Infantil San Miguel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Piura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18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Gobierno Regional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2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Oscar Henry Mena Garcia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43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976286142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4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No Acreditado</w:t>
            </w:r>
            <w:r/>
          </w:p>
        </w:tc>
      </w:tr>
      <w:tr>
        <w:trPr>
          <w:trHeight w:val="241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left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Hogar Santa Rosa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Piura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18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Privado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2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Carmen Norelia Sanchez Ortíz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43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985484366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4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Acreditado</w:t>
            </w:r>
            <w:r/>
          </w:p>
        </w:tc>
      </w:tr>
      <w:tr>
        <w:trPr>
          <w:trHeight w:val="241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left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Hogar del Niño Alto Piurano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94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Chulucanas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18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Privado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20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Maria Luisa Miranda Moscol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743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969789234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4" w:type="dxa"/>
            <w:vAlign w:val="center"/>
            <w:textDirection w:val="lrTb"/>
            <w:noWrap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6"/>
              </w:rPr>
              <w:t xml:space="preserve">No Acreditado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1039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before="0"/>
        <w:ind w:right="44"/>
        <w:jc w:val="both"/>
        <w:rPr>
          <w:sz w:val="22"/>
          <w:szCs w:val="22"/>
          <w:u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  <w:u w:val="none"/>
        </w:rPr>
        <w:t xml:space="preserve">Sup</w:t>
      </w:r>
      <w:r>
        <w:rPr>
          <w:rFonts w:ascii="Arial" w:hAnsi="Arial" w:eastAsia="Arial" w:cs="Arial"/>
          <w:b/>
          <w:color w:val="000000"/>
          <w:sz w:val="22"/>
          <w:szCs w:val="22"/>
          <w:u w:val="none"/>
        </w:rPr>
        <w:t xml:space="preserve">ervisión de los Centros de Acogida Residencial - CAR  públicos y Privados a nivel nacional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:</w:t>
      </w:r>
      <w:r>
        <w:rPr>
          <w:rFonts w:ascii="Arial" w:hAnsi="Arial" w:cs="Arial"/>
          <w:b/>
          <w:bCs/>
          <w:sz w:val="22"/>
          <w:szCs w:val="22"/>
          <w:u w:val="none"/>
        </w:rPr>
      </w:r>
      <w:r>
        <w:rPr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 w:firstLine="0" w:left="0"/>
        <w:jc w:val="both"/>
        <w:rPr>
          <w:rFonts w:ascii="Arial" w:hAnsi="Arial" w:cs="Arial"/>
          <w:b w:val="0"/>
          <w:bCs w:val="0"/>
          <w:sz w:val="22"/>
          <w:szCs w:val="22"/>
          <w:u w:val="none"/>
          <w14:ligatures w14:val="none"/>
        </w:rPr>
      </w:pPr>
      <w:r>
        <w:rPr>
          <w:rFonts w:ascii="Arial" w:hAnsi="Arial" w:cs="Arial"/>
          <w:b w:val="0"/>
          <w:bCs w:val="0"/>
          <w:sz w:val="22"/>
          <w:szCs w:val="22"/>
          <w:u w:val="none"/>
          <w14:ligatures w14:val="none"/>
        </w:rPr>
      </w:r>
      <w:r>
        <w:rPr>
          <w:rFonts w:ascii="Arial" w:hAnsi="Arial" w:cs="Arial"/>
          <w:b w:val="0"/>
          <w:bCs w:val="0"/>
          <w:sz w:val="22"/>
          <w:szCs w:val="22"/>
          <w:u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Servicio de carácter obligatorio y periódico con visitas inopinadas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, orientado a supervisar, aplicar el cumplimiento preventivo de la normativa vigente de los Centros de Acogida Residencial de niñas, niños y adolescentes; este servicio consiste en comprobar el adecuado funcionamiento de dichos establecimientos, teniendo c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omo referencia los estándares de calidad y las condiciones básicas de funcionamiento en el marco del Decreto Legislativo 1297 reglamento y modificatorias. 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ff0000"/>
          <w:sz w:val="22"/>
          <w:szCs w:val="22"/>
          <w:highlight w:val="none"/>
        </w:rPr>
      </w:pPr>
      <w:r>
        <w:rPr>
          <w:rFonts w:cstheme="minorHAnsi"/>
          <w:b/>
          <w:bCs/>
          <w:color w:val="ff0000"/>
          <w:sz w:val="22"/>
          <w:szCs w:val="22"/>
          <w:highlight w:val="none"/>
          <w:lang w:val="es-MX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Se ha programado la ejecución de supervisiones inopinadas en el tercer trimestre del presente año 2026, en la región de Piura. Asimismo,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durante el año 2025, se supervisó al 100% (04) de los CAR en la Región Piura, comprendiendo 02 administrados por el Gobierno Regional y 02 de gestión privada. En dichos CAR se registró aproximadamente a 102 niñas, niños y adolescentes en situación de despro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tección familiar. Las supervisiones estuvieron orientadas a verificar el cumplimiento de los estándares de calidad y las condiciones básicas de funcionamiento, en el marco del Decreto Legislativo N° 1297, su reglamento y modificatorias.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 w:firstLine="0" w:left="0"/>
        <w:jc w:val="both"/>
        <w:rPr>
          <w:rFonts w:ascii="Arial" w:hAnsi="Arial" w:cs="Arial"/>
          <w:b w:val="0"/>
          <w:bCs w:val="0"/>
          <w:sz w:val="22"/>
          <w:szCs w:val="22"/>
          <w:u w:val="none"/>
          <w14:ligatures w14:val="none"/>
        </w:rPr>
      </w:pPr>
      <w:r>
        <w:rPr>
          <w:rFonts w:ascii="Arial" w:hAnsi="Arial" w:cs="Arial"/>
          <w:b w:val="0"/>
          <w:bCs w:val="0"/>
          <w:sz w:val="22"/>
          <w:szCs w:val="22"/>
          <w:u w:val="none"/>
          <w:lang w:val="es-MX"/>
          <w14:ligatures w14:val="none"/>
        </w:rPr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es-MX"/>
          <w14:ligatures w14:val="none"/>
        </w:rPr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es-MX"/>
          <w14:ligatures w14:val="none"/>
        </w:rPr>
      </w:r>
    </w:p>
    <w:p>
      <w:pPr>
        <w:pStyle w:val="1039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/>
        <w:jc w:val="both"/>
        <w:rPr>
          <w:rFonts w:ascii="Arial" w:hAnsi="Arial" w:cs="Arial"/>
          <w:b/>
          <w:bCs/>
          <w:sz w:val="22"/>
          <w:szCs w:val="22"/>
          <w:u w:val="none"/>
          <w14:ligatures w14:val="none"/>
        </w:rPr>
      </w:pP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“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Conéctate Sin Riesgos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”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Acción comunicacional “Conéctate Sin Riesgos”, que tiene como propósito informar a las personas sobre los peligros en los entornos virtuales con énfasis en la explotación sexual que afectan a las niñas, niños y adolescentes. Se difunde la caja de herramien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tas de la acción comunicacional Conéctate Sin Riesgos como un instrumento que contribuye a la prevención de las situaciones de riesgos en los entornos virtuales.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 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Se informó mediante el Oficio Múltiple N.° D000003-2026-MIMP-DPNNA a nivel nacional a las  DEMUNA, la Caja de Herramientas de la acción comunicacional "Conéctate sin Riesgos” entre ellos en la Región de Piura, por el “Día Internacional de Internet Seguro”.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hd w:val="clear" w:color="auto" w:fill="e7e6e6" w:themeFill="background2"/>
        <w:spacing w:after="0" w:line="240" w:lineRule="auto"/>
        <w:ind/>
        <w:jc w:val="both"/>
        <w:rPr>
          <w:rFonts w:ascii="Arial" w:hAnsi="Arial" w:cs="Arial"/>
          <w:b/>
          <w:bCs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</w: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  <w:t xml:space="preserve">Dirección de Protección Especial</w:t>
      </w: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  <w:t xml:space="preserve"> (D</w:t>
      </w: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  <w:t xml:space="preserve">P</w:t>
      </w: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  <w:t xml:space="preserve">E</w:t>
      </w: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  <w:t xml:space="preserve">)</w:t>
      </w:r>
      <w:r>
        <w:rPr>
          <w:rFonts w:ascii="Arial" w:hAnsi="Arial" w:cs="Arial"/>
          <w:b/>
          <w:bCs/>
          <w:sz w:val="22"/>
          <w:szCs w:val="22"/>
          <w:shd w:val="clear" w:color="auto" w:fill="e7e6e6" w:themeFill="background2"/>
          <w:lang w:val="es-MX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ff0000"/>
          <w:sz w:val="22"/>
          <w:szCs w:val="22"/>
          <w:highlight w:val="none"/>
        </w:rPr>
      </w:pPr>
      <w:r>
        <w:rPr>
          <w:rFonts w:cstheme="minorHAnsi"/>
          <w:b/>
          <w:bCs/>
          <w:color w:val="ff0000"/>
          <w:sz w:val="22"/>
          <w:szCs w:val="22"/>
          <w:highlight w:val="none"/>
          <w:lang w:val="es-MX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</w:p>
    <w:p>
      <w:pPr>
        <w:pStyle w:val="1039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/>
        <w:jc w:val="both"/>
        <w:rPr>
          <w:rFonts w:ascii="Arial" w:hAnsi="Arial" w:cs="Arial"/>
          <w:b/>
          <w:bCs/>
          <w:sz w:val="22"/>
          <w:szCs w:val="22"/>
          <w:u w:val="none"/>
          <w14:ligatures w14:val="none"/>
        </w:rPr>
      </w:pPr>
      <w:r>
        <w:rPr>
          <w:rFonts w:ascii="Arial" w:hAnsi="Arial" w:cs="Arial"/>
          <w:sz w:val="22"/>
          <w:szCs w:val="22"/>
          <w:u w:val="none"/>
          <w:lang w:val="es-PE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Acogimiento Familiar: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:highlight w:val="none"/>
          <w:lang w:val="es-MX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E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l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 servicio de acogimiento familiar está confor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mado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p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or personas o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 familias declaradas capaces e incorporadas al Banco de Familias Acogedoras, que brindan protección y cuidado temporal a una niña, niño o adolescente que por el momento no puede vivir con su madre, padre o algún miembro de su familia.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En la región Piura, al cierre del mes de febrero, se cuenta con 21 personas o familias en el Banco de Familias Acogedoras, logrando acoger a 20 niñas, niños y adolescentes,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red"/>
        </w:rPr>
      </w:pPr>
      <w:r>
        <w:rPr>
          <w:rFonts w:ascii="Arial" w:hAnsi="Arial" w:cs="Arial"/>
          <w:sz w:val="22"/>
          <w:szCs w:val="22"/>
          <w:highlight w:val="red"/>
        </w:rPr>
      </w:r>
      <w:r>
        <w:rPr>
          <w:rFonts w:ascii="Arial" w:hAnsi="Arial" w:cs="Arial"/>
          <w:sz w:val="22"/>
          <w:szCs w:val="22"/>
          <w:highlight w:val="red"/>
        </w:rPr>
      </w:r>
    </w:p>
    <w:p>
      <w:pPr>
        <w:pStyle w:val="103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/>
        <w:jc w:val="both"/>
        <w:rPr>
          <w:rFonts w:ascii="Arial" w:hAnsi="Arial" w:cs="Arial"/>
          <w:b/>
          <w:bCs/>
          <w:sz w:val="22"/>
          <w:szCs w:val="22"/>
          <w:u w:val="none"/>
          <w14:ligatures w14:val="none"/>
        </w:rPr>
      </w:pP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Unidad de Protección Especial (UPE):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red"/>
        </w:rPr>
      </w:pPr>
      <w:r>
        <w:rPr>
          <w:rFonts w:ascii="Arial" w:hAnsi="Arial" w:cs="Arial"/>
          <w:sz w:val="22"/>
          <w:szCs w:val="22"/>
          <w:highlight w:val="red"/>
        </w:rPr>
      </w:r>
      <w:r>
        <w:rPr>
          <w:rFonts w:ascii="Arial" w:hAnsi="Arial" w:cs="Arial"/>
          <w:sz w:val="22"/>
          <w:szCs w:val="22"/>
          <w:highlight w:val="r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Las Unidades de Protección Especial, son instancias administrativas que actúan en el procedimiento por desprotección familiar de las NNA sin cuidados parentales o en riesgo de perderlos, dictando las medidas de protección que garanticen el pleno ejercicio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de sus derechos, priorizando su derecho a vivir, crecer y desarrollarse en el seno de su familia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.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Desde el inicio de competencia de la UPE Piura, ingresaron un total de 14,227 niñas, niños y adolescentes; entre enero y febrero del presente año, ingresaron 319 niñas, niños y adolescentes como casos nuevos, tal como se muestra a continuació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n: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sz w:val="22"/>
          <w:szCs w:val="22"/>
          <w:highlight w:val="none"/>
          <w14:ligatures w14:val="none"/>
        </w:rPr>
      </w:r>
    </w:p>
    <w:tbl>
      <w:tblPr>
        <w:tblStyle w:val="1053"/>
        <w:tblW w:w="0" w:type="auto"/>
        <w:tblInd w:w="205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2143"/>
        <w:gridCol w:w="2213"/>
      </w:tblGrid>
      <w:tr>
        <w:trPr>
          <w:trHeight w:val="0"/>
        </w:trPr>
        <w:tc>
          <w:tcPr>
            <w:gridSpan w:val="2"/>
            <w:tcBorders>
              <w:bottom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35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 xml:space="preserve">Niñas, niños y adolescentes ingresados a la Unidad de Protección Especial de Piura</w:t>
              <w:br/>
              <w:t xml:space="preserve"> (Periodo: 2021 - 2026)</w:t>
            </w:r>
            <w: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shd w:val="clear" w:color="305496" w:fill="305496"/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305496" w:fill="305496"/>
              <w:spacing w:after="0" w:line="240" w:lineRule="auto"/>
              <w:ind w:right="0" w:firstLine="0" w:left="0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 xml:space="preserve">AÑO DE INGRESO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305496" w:fill="305496"/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305496" w:fill="305496"/>
              <w:spacing w:after="0" w:line="240" w:lineRule="auto"/>
              <w:ind w:right="0" w:firstLine="0" w:left="0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 xml:space="preserve">TOTAL NNA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left"/>
              <w:rPr>
                <w:sz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4"/>
              </w:rPr>
              <w:t xml:space="preserve"> </w:t>
            </w:r>
            <w:r/>
            <w:r>
              <w:rPr>
                <w:sz w:val="24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left"/>
              <w:rPr>
                <w:sz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4"/>
              </w:rPr>
              <w:t xml:space="preserve"> </w:t>
            </w:r>
            <w: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shd w:val="clear" w:color="d9d9d9" w:fill="d9d9d9"/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 w:line="240" w:lineRule="auto"/>
              <w:ind w:right="0" w:firstLine="0" w:left="0"/>
              <w:jc w:val="center"/>
              <w:rPr>
                <w:sz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</w:rPr>
              <w:t xml:space="preserve">TOTAL</w:t>
            </w:r>
            <w:r/>
            <w:r>
              <w:rPr>
                <w:sz w:val="24"/>
              </w:rPr>
            </w:r>
          </w:p>
        </w:tc>
        <w:tc>
          <w:tcPr>
            <w:shd w:val="clear" w:color="d9d9d9" w:fill="d9d9d9"/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d9d9d9" w:fill="d9d9d9"/>
              <w:spacing w:after="0" w:line="240" w:lineRule="auto"/>
              <w:ind w:right="0" w:firstLine="0" w:left="0"/>
              <w:jc w:val="center"/>
              <w:rPr>
                <w:sz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</w:rPr>
              <w:t xml:space="preserve">14,227</w:t>
            </w:r>
            <w: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left"/>
              <w:rPr>
                <w:sz w:val="24"/>
                <w:highlight w:val="white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highlight w:val="white"/>
              </w:rPr>
              <w:t xml:space="preserve"> </w:t>
            </w:r>
            <w:r>
              <w:rPr>
                <w:highlight w:val="white"/>
              </w:rPr>
            </w:r>
            <w:r>
              <w:rPr>
                <w:sz w:val="24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left"/>
              <w:rPr>
                <w:sz w:val="24"/>
                <w:highlight w:val="white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highlight w:val="white"/>
              </w:rPr>
              <w:t xml:space="preserve"> </w:t>
            </w:r>
            <w:r>
              <w:rPr>
                <w:highlight w:val="white"/>
              </w:rPr>
            </w:r>
            <w:r>
              <w:rPr>
                <w:sz w:val="24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2015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326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2016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808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2017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886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2018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1,243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2019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1,863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2020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852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2021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1,163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2022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1,317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2023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1,569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2024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1,923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 2025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 1,958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tcBorders>
              <w:left w:val="single" w:color="000000" w:sz="8" w:space="0"/>
              <w:bottom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1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200" w:left="0"/>
              <w:jc w:val="left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i/>
                <w:color w:val="000000"/>
                <w:sz w:val="20"/>
                <w:szCs w:val="22"/>
                <w:highlight w:val="white"/>
              </w:rPr>
              <w:t xml:space="preserve">2026(*)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center"/>
              <w:rPr>
                <w:sz w:val="24"/>
                <w:szCs w:val="22"/>
                <w:highlight w:val="white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22"/>
                <w:highlight w:val="white"/>
              </w:rPr>
              <w:t xml:space="preserve">319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4"/>
                <w:szCs w:val="22"/>
                <w:highlight w:val="white"/>
              </w:rPr>
            </w:r>
          </w:p>
        </w:tc>
      </w:tr>
      <w:tr>
        <w:trPr>
          <w:trHeight w:val="0"/>
        </w:trPr>
        <w:tc>
          <w:tcPr>
            <w:gridSpan w:val="2"/>
            <w:tcBorders/>
            <w:tcMar>
              <w:left w:w="70" w:type="dxa"/>
              <w:top w:w="0" w:type="dxa"/>
              <w:right w:w="70" w:type="dxa"/>
              <w:bottom w:w="0" w:type="dxa"/>
            </w:tcMar>
            <w:tcW w:w="435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left"/>
              <w:rPr>
                <w:sz w:val="24"/>
                <w:highlight w:val="white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16"/>
                <w:highlight w:val="white"/>
              </w:rPr>
              <w:t xml:space="preserve">(*) La información corresponde al mes de febrero 2026.</w:t>
            </w:r>
            <w:r>
              <w:rPr>
                <w:highlight w:val="white"/>
              </w:rPr>
            </w:r>
            <w:r>
              <w:rPr>
                <w:sz w:val="24"/>
                <w:highlight w:val="white"/>
              </w:rPr>
            </w:r>
          </w:p>
        </w:tc>
      </w:tr>
      <w:tr>
        <w:trPr>
          <w:trHeight w:val="0"/>
        </w:trPr>
        <w:tc>
          <w:tcPr>
            <w:gridSpan w:val="2"/>
            <w:tcBorders/>
            <w:tcMar>
              <w:left w:w="70" w:type="dxa"/>
              <w:top w:w="0" w:type="dxa"/>
              <w:right w:w="70" w:type="dxa"/>
              <w:bottom w:w="0" w:type="dxa"/>
            </w:tcMar>
            <w:tcW w:w="435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right="0" w:firstLine="0" w:left="0"/>
              <w:jc w:val="left"/>
              <w:rPr>
                <w:sz w:val="24"/>
                <w:highlight w:val="white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16"/>
                <w:highlight w:val="white"/>
              </w:rPr>
              <w:t xml:space="preserve">Fuente: Unidad de Protección Especial de Piura.</w:t>
            </w:r>
            <w:r>
              <w:rPr>
                <w:highlight w:val="white"/>
              </w:rPr>
            </w:r>
            <w:r>
              <w:rPr>
                <w:sz w:val="24"/>
                <w:highlight w:val="white"/>
              </w:rPr>
            </w:r>
          </w:p>
        </w:tc>
      </w:tr>
    </w:tbl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sz w:val="22"/>
          <w:szCs w:val="22"/>
          <w:highlight w:val="none"/>
          <w14:ligatures w14:val="none"/>
        </w:rPr>
      </w:r>
    </w:p>
    <w:p>
      <w:pPr>
        <w:pStyle w:val="1039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</w:tabs>
        <w:spacing w:after="0" w:line="240" w:lineRule="auto"/>
        <w:ind w:right="44"/>
        <w:jc w:val="both"/>
        <w:rPr>
          <w:rFonts w:ascii="Arial" w:hAnsi="Arial" w:cs="Arial"/>
          <w:b/>
          <w:bCs/>
          <w:sz w:val="22"/>
          <w:szCs w:val="22"/>
          <w:u w:val="none"/>
          <w14:ligatures w14:val="none"/>
        </w:rPr>
      </w:pP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Lín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e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  <w:t xml:space="preserve">a ANNA 1810</w:t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  <w:r>
        <w:rPr>
          <w:rFonts w:ascii="Arial" w:hAnsi="Arial" w:cs="Arial"/>
          <w:b/>
          <w:bCs/>
          <w:sz w:val="22"/>
          <w:szCs w:val="22"/>
          <w:u w:val="none"/>
          <w:lang w:val="es-MX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red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</w:rPr>
        <w:t xml:space="preserve">La Línea ANNA 1810 es un </w:t>
      </w:r>
      <w:r>
        <w:rPr>
          <w:rFonts w:ascii="Arial" w:hAnsi="Arial" w:cs="Arial"/>
          <w:sz w:val="22"/>
          <w:szCs w:val="22"/>
          <w:highlight w:val="none"/>
        </w:rPr>
        <w:t xml:space="preserve">servicio telefónico confidencial y especializado del Ministerio de la Mujer y Poblaciones Vulnerables , ofrece atención gratuita y especializada a niñas, niños y adolescentes ante cualquier situación de riesgo o desprotección familiar; así como a personas a</w:t>
      </w:r>
      <w:r>
        <w:rPr>
          <w:rFonts w:ascii="Arial" w:hAnsi="Arial" w:cs="Arial"/>
          <w:sz w:val="22"/>
          <w:szCs w:val="22"/>
          <w:highlight w:val="none"/>
        </w:rPr>
        <w:t xml:space="preserve">dultas que conozcan de situaciones que afecten los derechos de las niñas, niños y adolescentes</w:t>
      </w:r>
      <w:r>
        <w:rPr>
          <w:rFonts w:ascii="Arial" w:hAnsi="Arial" w:cs="Arial"/>
          <w:sz w:val="22"/>
          <w:szCs w:val="22"/>
          <w:highlight w:val="none"/>
        </w:rPr>
        <w:t xml:space="preserve">.</w:t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sz w:val="22"/>
          <w:szCs w:val="22"/>
          <w:highlight w:val="none"/>
          <w14:ligatures w14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  <w:t xml:space="preserve">La Línea ANNA 1810 inició sus funciones el 15 de octubre de 2018 y, desde entonces, se ha consolidado como un servicio de referencia para la protección de niñas, niños y adolescentes en situación de riesgo. A lo largo de estos años ha recibido un total de 8</w:t>
      </w:r>
      <w:r>
        <w:rPr>
          <w:rFonts w:ascii="Arial" w:hAnsi="Arial" w:cs="Arial"/>
          <w:sz w:val="22"/>
          <w:szCs w:val="22"/>
          <w:highlight w:val="none"/>
        </w:rPr>
        <w:t xml:space="preserve">3,573 llamadas efectivas, de las cuales 44,654—equivalentes al 53 %— estuvieron directamente relacionadas con casos que involucraban a niñas, niños y adolescentes</w:t>
      </w:r>
      <w:r>
        <w:rPr>
          <w:rFonts w:ascii="Arial" w:hAnsi="Arial" w:cs="Arial"/>
          <w:sz w:val="22"/>
          <w:szCs w:val="22"/>
          <w:highlight w:val="none"/>
        </w:rPr>
        <w:t xml:space="preserve">.</w:t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sz w:val="22"/>
          <w:szCs w:val="22"/>
          <w:highlight w:val="none"/>
          <w14:ligatures w14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  <w:t xml:space="preserve">A la fecha, 51 llamadas fueron realizadas desde Piura, todas ellas vinculadas a niñas, niños y adolescentes.</w:t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left="0"/>
        <w:jc w:val="both"/>
        <w:rPr>
          <w:rFonts w:ascii="Arial" w:hAnsi="Arial" w:cs="Arial"/>
          <w:sz w:val="22"/>
          <w:szCs w:val="22"/>
          <w:highlight w:val="red"/>
        </w:rPr>
      </w:pPr>
      <w:r>
        <w:rPr>
          <w:rFonts w:ascii="Arial" w:hAnsi="Arial" w:cs="Arial"/>
          <w:sz w:val="22"/>
          <w:szCs w:val="22"/>
          <w:highlight w:val="red"/>
        </w:rPr>
      </w:r>
      <w:r>
        <w:rPr>
          <w:rFonts w:ascii="Arial" w:hAnsi="Arial" w:cs="Arial"/>
          <w:sz w:val="22"/>
          <w:szCs w:val="22"/>
          <w:highlight w:val="red"/>
        </w:rPr>
      </w:r>
    </w:p>
    <w:p>
      <w:pPr>
        <w:pStyle w:val="1039"/>
        <w:pBdr/>
        <w:shd w:val="clear" w:color="auto" w:fill="e7e6e6" w:themeFill="background2"/>
        <w:tabs>
          <w:tab w:val="left" w:leader="none" w:pos="567"/>
        </w:tabs>
        <w:spacing w:after="0" w:line="240" w:lineRule="auto"/>
        <w:ind w:right="44" w:left="0"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:lang w:val="es-PE"/>
        </w:rPr>
        <w:t xml:space="preserve">ESTRATEGIA MULTISECTORIAL “PREVENIR PARA PROTEGER”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ff0000"/>
          <w:sz w:val="22"/>
          <w:szCs w:val="22"/>
          <w:highlight w:val="none"/>
        </w:rPr>
      </w:pPr>
      <w:r>
        <w:rPr>
          <w:rFonts w:cstheme="minorHAnsi"/>
          <w:b/>
          <w:bCs/>
          <w:color w:val="ff0000"/>
          <w:sz w:val="22"/>
          <w:szCs w:val="22"/>
          <w:highlight w:val="none"/>
          <w:lang w:val="es-MX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</w:p>
    <w:p>
      <w:pPr>
        <w:pStyle w:val="103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tLeast"/>
        <w:ind w:right="0"/>
        <w:jc w:val="both"/>
        <w:rPr>
          <w:rFonts w:ascii="Calibri" w:hAnsi="Calibri" w:eastAsia="Calibri" w:cs="Calibri"/>
          <w:color w:val="000000"/>
          <w:sz w:val="24"/>
          <w:szCs w:val="24"/>
          <w:highlight w:val="none"/>
          <w:u w:val="none"/>
        </w:rPr>
      </w:pPr>
      <w:r>
        <w:rPr>
          <w:rFonts w:ascii="Calibri" w:hAnsi="Calibri" w:eastAsia="Calibri" w:cs="Calibri"/>
          <w:b/>
          <w:color w:val="000000"/>
          <w:sz w:val="24"/>
          <w:highlight w:val="none"/>
          <w:u w:val="none"/>
        </w:rPr>
        <w:t xml:space="preserve">Estrategia </w:t>
      </w:r>
      <w:r>
        <w:rPr>
          <w:rFonts w:ascii="Calibri" w:hAnsi="Calibri" w:eastAsia="Calibri" w:cs="Calibri"/>
          <w:b/>
          <w:color w:val="000000"/>
          <w:sz w:val="24"/>
          <w:highlight w:val="none"/>
          <w:u w:val="none"/>
        </w:rPr>
        <w:t xml:space="preserve">Multisectorial</w:t>
      </w:r>
      <w:r>
        <w:rPr>
          <w:rFonts w:ascii="Calibri" w:hAnsi="Calibri" w:eastAsia="Calibri" w:cs="Calibri"/>
          <w:b/>
          <w:color w:val="000000"/>
          <w:sz w:val="24"/>
          <w:highlight w:val="none"/>
          <w:u w:val="none"/>
        </w:rPr>
        <w:t xml:space="preserve"> “Prevenir para Proteger”:</w:t>
      </w: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 </w:t>
      </w:r>
      <w:r>
        <w:rPr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tLeast"/>
        <w:ind w:right="0" w:firstLine="0" w:left="0"/>
        <w:jc w:val="both"/>
        <w:rPr>
          <w:highlight w:val="none"/>
          <w:u w:val="none"/>
        </w:rPr>
      </w:pP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Aprobada mediante el Decreto Supremo N.° 008-2024-MIMP, busca reducir la violencia sexual contra niñas, niños y adolescentes a través de intervenciones sobre factores de riesgo en distintos entornos. Para el 2026 la implementación de la estrategia se ha f</w:t>
      </w: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ocalizado 133 distritos de las 25 regiones del país, con un enfoque territorial que adapta las acciones a cada contexto. </w:t>
      </w:r>
      <w:r>
        <w:rPr>
          <w:highlight w:val="none"/>
          <w:u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tLeast"/>
        <w:ind w:right="0" w:firstLine="0" w:left="0"/>
        <w:jc w:val="both"/>
        <w:rPr>
          <w:highlight w:val="none"/>
          <w:u w:val="none"/>
        </w:rPr>
      </w:pP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En la región Piura, para el año 2026 se ha priorizado la implementación de la estrategia </w:t>
      </w:r>
      <w:r>
        <w:rPr>
          <w:rFonts w:ascii="Calibri" w:hAnsi="Calibri" w:eastAsia="Calibri" w:cs="Calibri"/>
          <w:i/>
          <w:color w:val="000000"/>
          <w:sz w:val="24"/>
          <w:highlight w:val="none"/>
          <w:u w:val="none"/>
        </w:rPr>
        <w:t xml:space="preserve">Prevenir para Proteger</w:t>
      </w: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 en cinco distritos focalizados. En la provincia de Paita, los distritos priorizados son La Huaca y Paita; en la provincia de Piura, los distritos de Veintiséis de Octubre y Piura; y en la provincia de Sullana, el distrito de Sullana.</w:t>
      </w:r>
      <w:r>
        <w:rPr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:highlight w:val="none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</w:p>
    <w:p>
      <w:pPr>
        <w:pStyle w:val="1039"/>
        <w:pBdr/>
        <w:shd w:val="clear" w:color="auto" w:fill="e7e6e6" w:themeFill="background2"/>
        <w:tabs>
          <w:tab w:val="left" w:leader="none" w:pos="567"/>
        </w:tabs>
        <w:spacing w:after="0" w:line="240" w:lineRule="auto"/>
        <w:ind w:right="44" w:left="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ACIONES EN CURSO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ff0000"/>
          <w:sz w:val="22"/>
          <w:szCs w:val="22"/>
          <w:highlight w:val="none"/>
        </w:rPr>
      </w:pP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2f5496" w:themeColor="accent1" w:themeShade="BF"/>
          <w:sz w:val="22"/>
          <w:szCs w:val="22"/>
          <w:highlight w:val="none"/>
          <w:u w:val="single"/>
        </w:rPr>
      </w:pPr>
      <w:r>
        <w:rPr>
          <w:rFonts w:cstheme="minorHAnsi"/>
          <w:b/>
          <w:bCs/>
          <w:color w:val="2f5496" w:themeColor="accent1" w:themeShade="BF"/>
          <w:sz w:val="22"/>
          <w:szCs w:val="22"/>
          <w:highlight w:val="none"/>
          <w:u w:val="single"/>
        </w:rPr>
      </w:r>
      <w:r>
        <w:rPr>
          <w:rFonts w:cstheme="minorHAnsi"/>
          <w:b/>
          <w:bCs/>
          <w:color w:val="2f5496" w:themeColor="accent1" w:themeShade="BF"/>
          <w:sz w:val="22"/>
          <w:szCs w:val="22"/>
          <w:highlight w:val="none"/>
          <w:u w:val="single"/>
        </w:rPr>
      </w:r>
      <w:r>
        <w:rPr>
          <w:rFonts w:cstheme="minorHAnsi"/>
          <w:b/>
          <w:bCs/>
          <w:color w:val="2f5496" w:themeColor="accent1" w:themeShade="BF"/>
          <w:sz w:val="22"/>
          <w:szCs w:val="22"/>
          <w:highlight w:val="none"/>
          <w:u w:val="single"/>
        </w:rPr>
      </w:r>
    </w:p>
    <w:p>
      <w:pPr>
        <w:pStyle w:val="103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</w:rPr>
        <w:t xml:space="preserve">Preparación de una niña de 2 años y 7 meses ubicada en el CAR “Hogar Santa Rosa” designada con una familia nacional en el Consejo Nacional de Adopciones realizado el 26/03/26 como parte del proceso de vinculación previo a su adopción.</w:t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Style w:val="103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/>
        <w:jc w:val="both"/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Realización del 4to seguimiento post adoptivo del niño I.E.J.V. de 2 años de edad adoptado por una familia de Piura.</w:t>
      </w:r>
      <w:r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Style w:val="103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  <w:lang w:val="es-MX"/>
        </w:rPr>
        <w:t xml:space="preserve">Realizar la evaluación psicosocial de una familia residente en Piura.</w:t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ff0000"/>
          <w:sz w:val="22"/>
          <w:szCs w:val="22"/>
          <w:highlight w:val="none"/>
        </w:rPr>
      </w:pP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</w:p>
    <w:p>
      <w:pPr>
        <w:pStyle w:val="103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Se ha programado la realización del curso presencial “Riesgo de Desprotección Familiar”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 en la ciudad de Piura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, del 13 al 17 de abril.</w:t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Bdr/>
        <w:tabs>
          <w:tab w:val="left" w:leader="none" w:pos="851"/>
        </w:tabs>
        <w:spacing w:after="0" w:line="240" w:lineRule="auto"/>
        <w:ind w:right="44"/>
        <w:jc w:val="both"/>
        <w:rPr>
          <w:rFonts w:cstheme="minorHAnsi"/>
          <w:b/>
          <w:bCs/>
          <w:color w:val="ff0000"/>
          <w:sz w:val="22"/>
          <w:szCs w:val="22"/>
          <w:highlight w:val="none"/>
        </w:rPr>
      </w:pP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  <w:r>
        <w:rPr>
          <w:rFonts w:cstheme="minorHAnsi"/>
          <w:b/>
          <w:bCs/>
          <w:color w:val="ff0000"/>
          <w:sz w:val="22"/>
          <w:szCs w:val="22"/>
          <w:highlight w:val="none"/>
        </w:rPr>
      </w:r>
    </w:p>
    <w:p>
      <w:pPr>
        <w:pStyle w:val="103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En el marco del Plan anual de supervisión a la gestión y al servicio de las UPE 2026, la DPE ha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 programado una visita de supervisión a la Unidad de Protección Especial de Piura en el mes de abril, </w:t>
      </w:r>
      <w:r>
        <w:rPr>
          <w:rFonts w:ascii="Arial" w:hAnsi="Arial" w:eastAsia="Arial" w:cs="Arial"/>
          <w:color w:val="auto"/>
          <w:sz w:val="22"/>
          <w:szCs w:val="22"/>
          <w:lang w:val="es-MX"/>
        </w:rPr>
        <w:t xml:space="preserve">con el objetivo de f</w:t>
      </w:r>
      <w:r>
        <w:rPr>
          <w:rFonts w:ascii="Arial" w:hAnsi="Arial" w:eastAsia="Arial" w:cs="Arial"/>
          <w:color w:val="auto"/>
          <w:sz w:val="22"/>
          <w:szCs w:val="22"/>
          <w:highlight w:val="none"/>
          <w:lang w:val="es-MX"/>
        </w:rPr>
        <w:t xml:space="preserve">ortalecer las capacidades técnicas de los profesionales mediante acciones de capacitación y asistencia técnica, orientadas a una atención eficaz y ajustada a la normativa vigente.</w:t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r>
    </w:p>
    <w:p>
      <w:pPr>
        <w:pStyle w:val="1039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tLeast"/>
        <w:ind w:right="0"/>
        <w:jc w:val="both"/>
        <w:rPr>
          <w:highlight w:val="none"/>
          <w:u w:val="none"/>
        </w:rPr>
      </w:pP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En el marco de la</w:t>
      </w:r>
      <w:r>
        <w:rPr>
          <w:rFonts w:ascii="Calibri" w:hAnsi="Calibri" w:eastAsia="Calibri" w:cs="Calibri"/>
          <w:b/>
          <w:color w:val="000000"/>
          <w:sz w:val="24"/>
          <w:highlight w:val="none"/>
          <w:u w:val="none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000000"/>
          <w:sz w:val="24"/>
          <w:highlight w:val="none"/>
          <w:u w:val="none"/>
        </w:rPr>
        <w:t xml:space="preserve">Estrategia </w:t>
      </w:r>
      <w:r>
        <w:rPr>
          <w:rFonts w:ascii="Calibri" w:hAnsi="Calibri" w:eastAsia="Calibri" w:cs="Calibri"/>
          <w:b w:val="0"/>
          <w:bCs w:val="0"/>
          <w:color w:val="000000"/>
          <w:sz w:val="24"/>
          <w:highlight w:val="none"/>
          <w:u w:val="none"/>
        </w:rPr>
        <w:t xml:space="preserve">Multisectorial</w:t>
      </w:r>
      <w:r>
        <w:rPr>
          <w:rFonts w:ascii="Calibri" w:hAnsi="Calibri" w:eastAsia="Calibri" w:cs="Calibri"/>
          <w:b w:val="0"/>
          <w:bCs w:val="0"/>
          <w:color w:val="000000"/>
          <w:sz w:val="24"/>
          <w:highlight w:val="none"/>
          <w:u w:val="none"/>
        </w:rPr>
        <w:t xml:space="preserve"> “Prevenir para Proteger”</w:t>
      </w:r>
      <w:r>
        <w:rPr>
          <w:rFonts w:ascii="Calibri" w:hAnsi="Calibri" w:eastAsia="Calibri" w:cs="Calibri"/>
          <w:b/>
          <w:color w:val="000000"/>
          <w:sz w:val="24"/>
          <w:highlight w:val="none"/>
          <w:u w:val="none"/>
        </w:rPr>
        <w:t xml:space="preserve">,</w:t>
      </w: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 durante el primer trimestre del año, se desarrolló una reunión virtual de coordinación técnica orientada a la socialización de la estrategia, así como a la definición de roles y responsabilidades de los gobiernos locales involucrados. Asimismo, se realizar</w:t>
      </w:r>
      <w:r>
        <w:rPr>
          <w:rFonts w:ascii="Calibri" w:hAnsi="Calibri" w:eastAsia="Calibri" w:cs="Calibri"/>
          <w:color w:val="000000"/>
          <w:sz w:val="24"/>
          <w:highlight w:val="none"/>
          <w:u w:val="none"/>
        </w:rPr>
        <w:t xml:space="preserve">on coordinaciones con las municipalidades priorizadas para la planificación de las intervenciones en territorio, las cuales se encuentran programadas del 8 al 10 de abril de 2026.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720"/>
        <w:jc w:val="both"/>
        <w:rPr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line="240" w:lineRule="auto"/>
        <w:ind w:right="44" w:firstLine="0" w:left="0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1274" w:bottom="709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0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2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4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6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58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0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2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4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69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8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"/>
      <w:numFmt w:val="bullet"/>
      <w:pPr>
        <w:pBdr/>
        <w:spacing/>
        <w:ind w:hanging="360" w:left="786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0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2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4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6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58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0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2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4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69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"/>
      <w:numFmt w:val="bullet"/>
      <w:pPr>
        <w:pBdr/>
        <w:spacing/>
        <w:ind w:hanging="360" w:left="786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"/>
      <w:numFmt w:val="bullet"/>
      <w:pPr>
        <w:pBdr/>
        <w:spacing/>
        <w:ind w:hanging="360" w:left="786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418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90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562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"/>
      <w:numFmt w:val="bullet"/>
      <w:pPr>
        <w:pBdr/>
        <w:spacing/>
        <w:ind w:hanging="360" w:left="6347"/>
      </w:pPr>
      <w:rPr>
        <w:rFonts w:hint="default" w:ascii="Wingdings" w:hAnsi="Wingdings" w:eastAsia="Wingdings" w:cs="Wingdings"/>
      </w:rPr>
      <w:start w:val="1"/>
      <w:suff w:val="tab"/>
    </w:lvl>
    <w:lvl w:ilvl="4">
      <w:isLgl w:val="false"/>
      <w:lvlJc w:val="left"/>
      <w:lvlText w:val=""/>
      <w:numFmt w:val="bullet"/>
      <w:pPr>
        <w:pBdr/>
        <w:spacing/>
        <w:ind w:hanging="360" w:left="7067"/>
      </w:pPr>
      <w:rPr>
        <w:rFonts w:hint="default" w:ascii="Wingdings" w:hAnsi="Wingdings" w:eastAsia="Wingdings" w:cs="Wingdings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778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spacing/>
        <w:ind w:hanging="360" w:left="8507"/>
      </w:pPr>
      <w:rPr>
        <w:rFonts w:hint="default" w:ascii="Wingdings" w:hAnsi="Wingdings" w:eastAsia="Wingdings" w:cs="Wingdings"/>
      </w:rPr>
      <w:start w:val="1"/>
      <w:suff w:val="tab"/>
    </w:lvl>
    <w:lvl w:ilvl="7">
      <w:isLgl w:val="false"/>
      <w:lvlJc w:val="left"/>
      <w:lvlText w:val=""/>
      <w:numFmt w:val="bullet"/>
      <w:pPr>
        <w:pBdr/>
        <w:spacing/>
        <w:ind w:hanging="360" w:left="9227"/>
      </w:pPr>
      <w:rPr>
        <w:rFonts w:hint="default" w:ascii="Wingdings" w:hAnsi="Wingdings" w:eastAsia="Wingdings" w:cs="Wingdings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94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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left"/>
      <w:lvlText w:val=""/>
      <w:numFmt w:val="bullet"/>
      <w:pPr>
        <w:pBdr/>
        <w:spacing/>
        <w:ind w:hanging="360" w:left="78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8">
    <w:lvl w:ilvl="0">
      <w:isLgl w:val="false"/>
      <w:lvlJc w:val="left"/>
      <w:lvlText w:val=""/>
      <w:numFmt w:val="bullet"/>
      <w:pPr>
        <w:pBdr/>
        <w:spacing/>
        <w:ind w:hanging="360" w:left="78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/>
      </w:rPr>
      <w:start w:val="1"/>
      <w:suff w:val="tab"/>
    </w:lvl>
  </w:abstractNum>
  <w:abstractNum w:abstractNumId="69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7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7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3">
    <w:lvl w:ilvl="0">
      <w:isLgl w:val="false"/>
      <w:lvlJc w:val="left"/>
      <w:lvlText w:val=""/>
      <w:numFmt w:val="bullet"/>
      <w:pPr>
        <w:pBdr/>
        <w:spacing/>
        <w:ind w:hanging="360" w:left="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2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6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3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836"/>
      </w:pPr>
      <w:rPr>
        <w:rFonts w:hint="default" w:ascii="Wingdings" w:hAnsi="Wingdings"/>
      </w:rPr>
      <w:start w:val="1"/>
      <w:suff w:val="tab"/>
    </w:lvl>
  </w:abstractNum>
  <w:abstractNum w:abstractNumId="74">
    <w:lvl w:ilvl="0">
      <w:isLgl w:val="false"/>
      <w:lvlJc w:val="left"/>
      <w:lvlText w:val=""/>
      <w:numFmt w:val="bullet"/>
      <w:pPr>
        <w:pBdr/>
        <w:spacing/>
        <w:ind w:hanging="360" w:left="786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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76">
    <w:lvl w:ilvl="0">
      <w:isLgl w:val="false"/>
      <w:lvlJc w:val="left"/>
      <w:lvlText w:val="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77">
    <w:lvl w:ilvl="0">
      <w:isLgl w:val="false"/>
      <w:lvlJc w:val="left"/>
      <w:lvlText w:val="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78">
    <w:lvl w:ilvl="0">
      <w:isLgl w:val="false"/>
      <w:lvlJc w:val="left"/>
      <w:lvlText w:val="⮚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hint="default" w:ascii="Symbol" w:hAnsi="Symbol" w:eastAsia="Symbol" w:cs="Symbol"/>
      </w:rPr>
      <w:start w:val="1"/>
      <w:suff w:val="tab"/>
    </w:lvl>
  </w:abstractNum>
  <w:abstractNum w:abstractNumId="79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rFonts w:hint="default" w:ascii="Symbol" w:hAnsi="Symbol" w:eastAsia="Symbol" w:cs="Symbol"/>
      </w:rPr>
      <w:start w:val="1"/>
      <w:suff w:val="tab"/>
    </w:lvl>
  </w:abstractNum>
  <w:abstractNum w:abstractNumId="80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rFonts w:hint="default" w:ascii="Symbol" w:hAnsi="Symbol" w:eastAsia="Symbol" w:cs="Symbol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71"/>
  </w:num>
  <w:num w:numId="3">
    <w:abstractNumId w:val="64"/>
  </w:num>
  <w:num w:numId="4">
    <w:abstractNumId w:val="66"/>
  </w:num>
  <w:num w:numId="5">
    <w:abstractNumId w:val="54"/>
  </w:num>
  <w:num w:numId="6">
    <w:abstractNumId w:val="9"/>
  </w:num>
  <w:num w:numId="7">
    <w:abstractNumId w:val="74"/>
  </w:num>
  <w:num w:numId="8">
    <w:abstractNumId w:val="39"/>
  </w:num>
  <w:num w:numId="9">
    <w:abstractNumId w:val="20"/>
  </w:num>
  <w:num w:numId="10">
    <w:abstractNumId w:val="7"/>
  </w:num>
  <w:num w:numId="11">
    <w:abstractNumId w:val="27"/>
  </w:num>
  <w:num w:numId="12">
    <w:abstractNumId w:val="36"/>
  </w:num>
  <w:num w:numId="13">
    <w:abstractNumId w:val="15"/>
  </w:num>
  <w:num w:numId="14">
    <w:abstractNumId w:val="49"/>
  </w:num>
  <w:num w:numId="15">
    <w:abstractNumId w:val="45"/>
  </w:num>
  <w:num w:numId="16">
    <w:abstractNumId w:val="70"/>
  </w:num>
  <w:num w:numId="17">
    <w:abstractNumId w:val="50"/>
  </w:num>
  <w:num w:numId="18">
    <w:abstractNumId w:val="40"/>
  </w:num>
  <w:num w:numId="19">
    <w:abstractNumId w:val="42"/>
  </w:num>
  <w:num w:numId="20">
    <w:abstractNumId w:val="32"/>
  </w:num>
  <w:num w:numId="21">
    <w:abstractNumId w:val="30"/>
  </w:num>
  <w:num w:numId="22">
    <w:abstractNumId w:val="35"/>
  </w:num>
  <w:num w:numId="23">
    <w:abstractNumId w:val="46"/>
  </w:num>
  <w:num w:numId="24">
    <w:abstractNumId w:val="6"/>
  </w:num>
  <w:num w:numId="25">
    <w:abstractNumId w:val="25"/>
  </w:num>
  <w:num w:numId="26">
    <w:abstractNumId w:val="14"/>
  </w:num>
  <w:num w:numId="27">
    <w:abstractNumId w:val="67"/>
  </w:num>
  <w:num w:numId="28">
    <w:abstractNumId w:val="28"/>
  </w:num>
  <w:num w:numId="29">
    <w:abstractNumId w:val="63"/>
  </w:num>
  <w:num w:numId="30">
    <w:abstractNumId w:val="38"/>
  </w:num>
  <w:num w:numId="31">
    <w:abstractNumId w:val="24"/>
  </w:num>
  <w:num w:numId="32">
    <w:abstractNumId w:val="61"/>
  </w:num>
  <w:num w:numId="33">
    <w:abstractNumId w:val="37"/>
  </w:num>
  <w:num w:numId="34">
    <w:abstractNumId w:val="52"/>
  </w:num>
  <w:num w:numId="35">
    <w:abstractNumId w:val="21"/>
  </w:num>
  <w:num w:numId="36">
    <w:abstractNumId w:val="31"/>
  </w:num>
  <w:num w:numId="37">
    <w:abstractNumId w:val="18"/>
  </w:num>
  <w:num w:numId="38">
    <w:abstractNumId w:val="57"/>
  </w:num>
  <w:num w:numId="39">
    <w:abstractNumId w:val="59"/>
  </w:num>
  <w:num w:numId="40">
    <w:abstractNumId w:val="8"/>
  </w:num>
  <w:num w:numId="41">
    <w:abstractNumId w:val="43"/>
  </w:num>
  <w:num w:numId="42">
    <w:abstractNumId w:val="73"/>
  </w:num>
  <w:num w:numId="43">
    <w:abstractNumId w:val="53"/>
  </w:num>
  <w:num w:numId="44">
    <w:abstractNumId w:val="41"/>
  </w:num>
  <w:num w:numId="45">
    <w:abstractNumId w:val="13"/>
  </w:num>
  <w:num w:numId="46">
    <w:abstractNumId w:val="29"/>
  </w:num>
  <w:num w:numId="47">
    <w:abstractNumId w:val="23"/>
  </w:num>
  <w:num w:numId="48">
    <w:abstractNumId w:val="48"/>
  </w:num>
  <w:num w:numId="49">
    <w:abstractNumId w:val="55"/>
  </w:num>
  <w:num w:numId="50">
    <w:abstractNumId w:val="4"/>
  </w:num>
  <w:num w:numId="51">
    <w:abstractNumId w:val="26"/>
  </w:num>
  <w:num w:numId="52">
    <w:abstractNumId w:val="2"/>
  </w:num>
  <w:num w:numId="53">
    <w:abstractNumId w:val="56"/>
  </w:num>
  <w:num w:numId="54">
    <w:abstractNumId w:val="51"/>
  </w:num>
  <w:num w:numId="55">
    <w:abstractNumId w:val="16"/>
  </w:num>
  <w:num w:numId="56">
    <w:abstractNumId w:val="0"/>
  </w:num>
  <w:num w:numId="57">
    <w:abstractNumId w:val="10"/>
  </w:num>
  <w:num w:numId="58">
    <w:abstractNumId w:val="34"/>
  </w:num>
  <w:num w:numId="59">
    <w:abstractNumId w:val="33"/>
  </w:num>
  <w:num w:numId="60">
    <w:abstractNumId w:val="72"/>
  </w:num>
  <w:num w:numId="61">
    <w:abstractNumId w:val="58"/>
  </w:num>
  <w:num w:numId="62">
    <w:abstractNumId w:val="65"/>
  </w:num>
  <w:num w:numId="63">
    <w:abstractNumId w:val="11"/>
  </w:num>
  <w:num w:numId="64">
    <w:abstractNumId w:val="44"/>
  </w:num>
  <w:num w:numId="65">
    <w:abstractNumId w:val="62"/>
  </w:num>
  <w:num w:numId="66">
    <w:abstractNumId w:val="12"/>
  </w:num>
  <w:num w:numId="67">
    <w:abstractNumId w:val="68"/>
  </w:num>
  <w:num w:numId="68">
    <w:abstractNumId w:val="19"/>
  </w:num>
  <w:num w:numId="69">
    <w:abstractNumId w:val="47"/>
  </w:num>
  <w:num w:numId="70">
    <w:abstractNumId w:val="1"/>
  </w:num>
  <w:num w:numId="71">
    <w:abstractNumId w:val="17"/>
  </w:num>
  <w:num w:numId="72">
    <w:abstractNumId w:val="22"/>
  </w:num>
  <w:num w:numId="73">
    <w:abstractNumId w:val="69"/>
  </w:num>
  <w:num w:numId="74">
    <w:abstractNumId w:val="5"/>
  </w:num>
  <w:num w:numId="75">
    <w:abstractNumId w:val="3"/>
  </w:num>
  <w:num w:numId="76">
    <w:abstractNumId w:val="60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P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7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  <w:sz w:val="22"/>
      <w:szCs w:val="22"/>
      <w:lang w:val="es-ES"/>
      <w14:ligatures w14:val="none"/>
    </w:rPr>
  </w:style>
  <w:style w:type="paragraph" w:styleId="848">
    <w:name w:val="Heading 1"/>
    <w:basedOn w:val="847"/>
    <w:next w:val="847"/>
    <w:link w:val="10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49">
    <w:name w:val="Heading 2"/>
    <w:basedOn w:val="847"/>
    <w:next w:val="847"/>
    <w:link w:val="102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50">
    <w:name w:val="Heading 3"/>
    <w:basedOn w:val="847"/>
    <w:next w:val="847"/>
    <w:link w:val="102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51">
    <w:name w:val="Heading 4"/>
    <w:basedOn w:val="847"/>
    <w:next w:val="847"/>
    <w:link w:val="102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52">
    <w:name w:val="Heading 5"/>
    <w:basedOn w:val="847"/>
    <w:next w:val="847"/>
    <w:link w:val="102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53">
    <w:name w:val="Heading 6"/>
    <w:basedOn w:val="847"/>
    <w:next w:val="847"/>
    <w:link w:val="102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4">
    <w:name w:val="Heading 7"/>
    <w:basedOn w:val="847"/>
    <w:next w:val="847"/>
    <w:link w:val="103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55">
    <w:name w:val="Heading 8"/>
    <w:basedOn w:val="847"/>
    <w:next w:val="847"/>
    <w:link w:val="103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56">
    <w:name w:val="Heading 9"/>
    <w:basedOn w:val="847"/>
    <w:next w:val="847"/>
    <w:link w:val="103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table" w:styleId="85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character" w:styleId="860" w:customStyle="1">
    <w:name w:val="Header Char"/>
    <w:basedOn w:val="857"/>
    <w:uiPriority w:val="99"/>
    <w:pPr>
      <w:pBdr/>
      <w:spacing/>
      <w:ind/>
    </w:pPr>
  </w:style>
  <w:style w:type="character" w:styleId="861" w:customStyle="1">
    <w:name w:val="Footer Char"/>
    <w:basedOn w:val="857"/>
    <w:uiPriority w:val="99"/>
    <w:pPr>
      <w:pBdr/>
      <w:spacing/>
      <w:ind/>
    </w:pPr>
  </w:style>
  <w:style w:type="character" w:styleId="862" w:customStyle="1">
    <w:name w:val="Endnote Text Char"/>
    <w:basedOn w:val="857"/>
    <w:uiPriority w:val="99"/>
    <w:semiHidden/>
    <w:pPr>
      <w:pBdr/>
      <w:spacing/>
      <w:ind/>
    </w:pPr>
    <w:rPr>
      <w:sz w:val="20"/>
      <w:szCs w:val="20"/>
    </w:rPr>
  </w:style>
  <w:style w:type="table" w:styleId="863" w:customStyle="1">
    <w:name w:val="Table Grid Light"/>
    <w:basedOn w:val="8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4 - Accent 1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4 - Accent 2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4 - Accent 3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4 - Accent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4 - Accent 5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6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5 Dark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5 Dark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4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4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4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4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4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5 Dark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5 Dark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1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2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3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4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5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6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1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2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3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4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5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6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es-PE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3" w:customStyle="1">
    <w:name w:val="Heading 1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84" w:customStyle="1">
    <w:name w:val="Heading 2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85" w:customStyle="1">
    <w:name w:val="Heading 3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86" w:customStyle="1">
    <w:name w:val="Heading 4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87" w:customStyle="1">
    <w:name w:val="Heading 5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88" w:customStyle="1">
    <w:name w:val="Heading 6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9" w:customStyle="1">
    <w:name w:val="Heading 7 Char"/>
    <w:basedOn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0" w:customStyle="1">
    <w:name w:val="Heading 8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1" w:customStyle="1">
    <w:name w:val="Heading 9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2" w:customStyle="1">
    <w:name w:val="Title Char"/>
    <w:basedOn w:val="8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3" w:customStyle="1">
    <w:name w:val="Subtitle Char"/>
    <w:basedOn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4" w:customStyle="1">
    <w:name w:val="Quote Char"/>
    <w:basedOn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5" w:customStyle="1">
    <w:name w:val="Intense Quote Char"/>
    <w:basedOn w:val="857"/>
    <w:uiPriority w:val="30"/>
    <w:pPr>
      <w:pBdr/>
      <w:spacing/>
      <w:ind/>
    </w:pPr>
    <w:rPr>
      <w:i/>
      <w:iCs/>
      <w:color w:val="2f5496" w:themeColor="accent1" w:themeShade="BF"/>
    </w:rPr>
  </w:style>
  <w:style w:type="paragraph" w:styleId="996">
    <w:name w:val="No Spacing"/>
    <w:basedOn w:val="847"/>
    <w:uiPriority w:val="1"/>
    <w:qFormat/>
    <w:pPr>
      <w:pBdr/>
      <w:spacing w:after="0" w:line="240" w:lineRule="auto"/>
      <w:ind/>
    </w:pPr>
  </w:style>
  <w:style w:type="character" w:styleId="997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8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999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1000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1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2">
    <w:name w:val="Header"/>
    <w:basedOn w:val="847"/>
    <w:link w:val="10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3" w:customStyle="1">
    <w:name w:val="Encabezado Car"/>
    <w:basedOn w:val="857"/>
    <w:link w:val="1002"/>
    <w:uiPriority w:val="99"/>
    <w:pPr>
      <w:pBdr/>
      <w:spacing/>
      <w:ind/>
    </w:pPr>
  </w:style>
  <w:style w:type="paragraph" w:styleId="1004">
    <w:name w:val="Footer"/>
    <w:basedOn w:val="847"/>
    <w:link w:val="10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5" w:customStyle="1">
    <w:name w:val="Pie de página Car"/>
    <w:basedOn w:val="857"/>
    <w:link w:val="1004"/>
    <w:uiPriority w:val="99"/>
    <w:pPr>
      <w:pBdr/>
      <w:spacing/>
      <w:ind/>
    </w:pPr>
  </w:style>
  <w:style w:type="paragraph" w:styleId="1006">
    <w:name w:val="Caption"/>
    <w:basedOn w:val="847"/>
    <w:next w:val="847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character" w:styleId="1007" w:customStyle="1">
    <w:name w:val="Footnote Text Char"/>
    <w:basedOn w:val="857"/>
    <w:uiPriority w:val="99"/>
    <w:semiHidden/>
    <w:pPr>
      <w:pBdr/>
      <w:spacing/>
      <w:ind/>
    </w:pPr>
    <w:rPr>
      <w:sz w:val="20"/>
      <w:szCs w:val="20"/>
    </w:rPr>
  </w:style>
  <w:style w:type="paragraph" w:styleId="1008">
    <w:name w:val="endnote text"/>
    <w:basedOn w:val="847"/>
    <w:link w:val="10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9" w:customStyle="1">
    <w:name w:val="Texto nota al final Car"/>
    <w:basedOn w:val="857"/>
    <w:link w:val="1008"/>
    <w:uiPriority w:val="99"/>
    <w:semiHidden/>
    <w:pPr>
      <w:pBdr/>
      <w:spacing/>
      <w:ind/>
    </w:pPr>
    <w:rPr>
      <w:sz w:val="20"/>
      <w:szCs w:val="20"/>
    </w:rPr>
  </w:style>
  <w:style w:type="character" w:styleId="1010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1011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2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3">
    <w:name w:val="toc 1"/>
    <w:basedOn w:val="847"/>
    <w:next w:val="847"/>
    <w:uiPriority w:val="39"/>
    <w:unhideWhenUsed/>
    <w:pPr>
      <w:pBdr/>
      <w:spacing w:after="100"/>
      <w:ind/>
    </w:pPr>
  </w:style>
  <w:style w:type="paragraph" w:styleId="1014">
    <w:name w:val="toc 2"/>
    <w:basedOn w:val="847"/>
    <w:next w:val="847"/>
    <w:uiPriority w:val="39"/>
    <w:unhideWhenUsed/>
    <w:pPr>
      <w:pBdr/>
      <w:spacing w:after="100"/>
      <w:ind w:left="220"/>
    </w:pPr>
  </w:style>
  <w:style w:type="paragraph" w:styleId="1015">
    <w:name w:val="toc 3"/>
    <w:basedOn w:val="847"/>
    <w:next w:val="847"/>
    <w:uiPriority w:val="39"/>
    <w:unhideWhenUsed/>
    <w:pPr>
      <w:pBdr/>
      <w:spacing w:after="100"/>
      <w:ind w:left="440"/>
    </w:pPr>
  </w:style>
  <w:style w:type="paragraph" w:styleId="1016">
    <w:name w:val="toc 4"/>
    <w:basedOn w:val="847"/>
    <w:next w:val="847"/>
    <w:uiPriority w:val="39"/>
    <w:unhideWhenUsed/>
    <w:pPr>
      <w:pBdr/>
      <w:spacing w:after="100"/>
      <w:ind w:left="660"/>
    </w:pPr>
  </w:style>
  <w:style w:type="paragraph" w:styleId="1017">
    <w:name w:val="toc 5"/>
    <w:basedOn w:val="847"/>
    <w:next w:val="847"/>
    <w:uiPriority w:val="39"/>
    <w:unhideWhenUsed/>
    <w:pPr>
      <w:pBdr/>
      <w:spacing w:after="100"/>
      <w:ind w:left="880"/>
    </w:pPr>
  </w:style>
  <w:style w:type="paragraph" w:styleId="1018">
    <w:name w:val="toc 6"/>
    <w:basedOn w:val="847"/>
    <w:next w:val="847"/>
    <w:uiPriority w:val="39"/>
    <w:unhideWhenUsed/>
    <w:pPr>
      <w:pBdr/>
      <w:spacing w:after="100"/>
      <w:ind w:left="1100"/>
    </w:pPr>
  </w:style>
  <w:style w:type="paragraph" w:styleId="1019">
    <w:name w:val="toc 7"/>
    <w:basedOn w:val="847"/>
    <w:next w:val="847"/>
    <w:uiPriority w:val="39"/>
    <w:unhideWhenUsed/>
    <w:pPr>
      <w:pBdr/>
      <w:spacing w:after="100"/>
      <w:ind w:left="1320"/>
    </w:pPr>
  </w:style>
  <w:style w:type="paragraph" w:styleId="1020">
    <w:name w:val="toc 8"/>
    <w:basedOn w:val="847"/>
    <w:next w:val="847"/>
    <w:uiPriority w:val="39"/>
    <w:unhideWhenUsed/>
    <w:pPr>
      <w:pBdr/>
      <w:spacing w:after="100"/>
      <w:ind w:left="1540"/>
    </w:pPr>
  </w:style>
  <w:style w:type="paragraph" w:styleId="1021">
    <w:name w:val="toc 9"/>
    <w:basedOn w:val="847"/>
    <w:next w:val="847"/>
    <w:uiPriority w:val="39"/>
    <w:unhideWhenUsed/>
    <w:pPr>
      <w:pBdr/>
      <w:spacing w:after="100"/>
      <w:ind w:left="1760"/>
    </w:pPr>
  </w:style>
  <w:style w:type="paragraph" w:styleId="1022">
    <w:name w:val="TOC Heading"/>
    <w:uiPriority w:val="39"/>
    <w:unhideWhenUsed/>
    <w:pPr>
      <w:pBdr/>
      <w:spacing/>
      <w:ind/>
    </w:pPr>
  </w:style>
  <w:style w:type="paragraph" w:styleId="1023">
    <w:name w:val="table of figures"/>
    <w:basedOn w:val="847"/>
    <w:next w:val="847"/>
    <w:uiPriority w:val="99"/>
    <w:unhideWhenUsed/>
    <w:pPr>
      <w:pBdr/>
      <w:spacing w:after="0"/>
      <w:ind/>
    </w:pPr>
  </w:style>
  <w:style w:type="character" w:styleId="1024" w:customStyle="1">
    <w:name w:val="Título 1 Car"/>
    <w:basedOn w:val="857"/>
    <w:link w:val="84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1025" w:customStyle="1">
    <w:name w:val="Título 2 Car"/>
    <w:basedOn w:val="857"/>
    <w:link w:val="84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1026" w:customStyle="1">
    <w:name w:val="Título 3 Car"/>
    <w:basedOn w:val="857"/>
    <w:link w:val="85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1027" w:customStyle="1">
    <w:name w:val="Título 4 Car"/>
    <w:basedOn w:val="857"/>
    <w:link w:val="851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1028" w:customStyle="1">
    <w:name w:val="Título 5 Car"/>
    <w:basedOn w:val="857"/>
    <w:link w:val="85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1029" w:customStyle="1">
    <w:name w:val="Título 6 Car"/>
    <w:basedOn w:val="857"/>
    <w:link w:val="85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30" w:customStyle="1">
    <w:name w:val="Título 7 Car"/>
    <w:basedOn w:val="857"/>
    <w:link w:val="85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31" w:customStyle="1">
    <w:name w:val="Título 8 Car"/>
    <w:basedOn w:val="857"/>
    <w:link w:val="85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32" w:customStyle="1">
    <w:name w:val="Título 9 Car"/>
    <w:basedOn w:val="857"/>
    <w:link w:val="85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33">
    <w:name w:val="Title"/>
    <w:basedOn w:val="847"/>
    <w:next w:val="847"/>
    <w:link w:val="103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4" w:customStyle="1">
    <w:name w:val="Título Car"/>
    <w:basedOn w:val="857"/>
    <w:link w:val="103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35">
    <w:name w:val="Subtitle"/>
    <w:basedOn w:val="847"/>
    <w:next w:val="847"/>
    <w:link w:val="103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36" w:customStyle="1">
    <w:name w:val="Subtítulo Car"/>
    <w:basedOn w:val="857"/>
    <w:link w:val="103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37">
    <w:name w:val="Quote"/>
    <w:basedOn w:val="847"/>
    <w:next w:val="847"/>
    <w:link w:val="10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8" w:customStyle="1">
    <w:name w:val="Cita Car"/>
    <w:basedOn w:val="857"/>
    <w:link w:val="103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39">
    <w:name w:val="List Paragraph"/>
    <w:basedOn w:val="847"/>
    <w:link w:val="1062"/>
    <w:qFormat/>
    <w:pPr>
      <w:pBdr/>
      <w:spacing/>
      <w:ind w:left="720"/>
      <w:contextualSpacing w:val="true"/>
    </w:pPr>
  </w:style>
  <w:style w:type="character" w:styleId="1040">
    <w:name w:val="Intense Emphasis"/>
    <w:basedOn w:val="85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041">
    <w:name w:val="Intense Quote"/>
    <w:basedOn w:val="847"/>
    <w:next w:val="847"/>
    <w:link w:val="104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042" w:customStyle="1">
    <w:name w:val="Cita destacada Car"/>
    <w:basedOn w:val="857"/>
    <w:link w:val="1041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43">
    <w:name w:val="Intense Reference"/>
    <w:basedOn w:val="85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044">
    <w:name w:val="footnote text"/>
    <w:basedOn w:val="847"/>
    <w:link w:val="1045"/>
    <w:uiPriority w:val="99"/>
    <w:unhideWhenUsed/>
    <w:qFormat/>
    <w:pPr>
      <w:pBdr/>
      <w:spacing w:after="0" w:line="240" w:lineRule="auto"/>
      <w:ind/>
    </w:pPr>
    <w:rPr>
      <w:rFonts w:ascii="Times New Roman" w:hAnsi="Times New Roman" w:eastAsia="Times New Roman"/>
      <w:sz w:val="20"/>
      <w:szCs w:val="20"/>
      <w:lang w:eastAsia="es-ES"/>
    </w:rPr>
  </w:style>
  <w:style w:type="character" w:styleId="1045" w:customStyle="1">
    <w:name w:val="Texto nota pie Car"/>
    <w:basedOn w:val="857"/>
    <w:link w:val="1044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  <w14:ligatures w14:val="none"/>
    </w:rPr>
  </w:style>
  <w:style w:type="character" w:styleId="1046">
    <w:name w:val="footnote reference"/>
    <w:basedOn w:val="857"/>
    <w:link w:val="1052"/>
    <w:uiPriority w:val="99"/>
    <w:unhideWhenUsed/>
    <w:qFormat/>
    <w:pPr>
      <w:pBdr/>
      <w:spacing/>
      <w:ind/>
    </w:pPr>
    <w:rPr>
      <w:vertAlign w:val="superscript"/>
    </w:rPr>
  </w:style>
  <w:style w:type="character" w:styleId="1047">
    <w:name w:val="annotation reference"/>
    <w:basedOn w:val="85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48">
    <w:name w:val="annotation text"/>
    <w:basedOn w:val="847"/>
    <w:link w:val="1049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049" w:customStyle="1">
    <w:name w:val="Texto comentario Car"/>
    <w:basedOn w:val="857"/>
    <w:link w:val="1048"/>
    <w:uiPriority w:val="99"/>
    <w:pPr>
      <w:pBdr/>
      <w:spacing/>
      <w:ind/>
    </w:pPr>
    <w:rPr>
      <w:rFonts w:ascii="Calibri" w:hAnsi="Calibri" w:eastAsia="Calibri" w:cs="Times New Roman"/>
      <w:sz w:val="20"/>
      <w:szCs w:val="20"/>
      <w:lang w:val="es-ES"/>
      <w14:ligatures w14:val="none"/>
    </w:rPr>
  </w:style>
  <w:style w:type="paragraph" w:styleId="1050">
    <w:name w:val="annotation subject"/>
    <w:basedOn w:val="1048"/>
    <w:next w:val="1048"/>
    <w:link w:val="1051"/>
    <w:uiPriority w:val="99"/>
    <w:semiHidden/>
    <w:unhideWhenUsed/>
    <w:pPr>
      <w:pBdr/>
      <w:spacing/>
      <w:ind/>
    </w:pPr>
    <w:rPr>
      <w:b/>
      <w:bCs/>
    </w:rPr>
  </w:style>
  <w:style w:type="character" w:styleId="1051" w:customStyle="1">
    <w:name w:val="Asunto del comentario Car"/>
    <w:basedOn w:val="1049"/>
    <w:link w:val="1050"/>
    <w:uiPriority w:val="99"/>
    <w:semiHidden/>
    <w:pPr>
      <w:pBdr/>
      <w:spacing/>
      <w:ind/>
    </w:pPr>
    <w:rPr>
      <w:rFonts w:ascii="Calibri" w:hAnsi="Calibri" w:eastAsia="Calibri" w:cs="Times New Roman"/>
      <w:b/>
      <w:bCs/>
      <w:sz w:val="20"/>
      <w:szCs w:val="20"/>
      <w:lang w:val="es-ES"/>
      <w14:ligatures w14:val="none"/>
    </w:rPr>
  </w:style>
  <w:style w:type="paragraph" w:styleId="1052" w:customStyle="1">
    <w:name w:val="BVI fnr Car1 Car Car Car Car"/>
    <w:basedOn w:val="847"/>
    <w:link w:val="1046"/>
    <w:uiPriority w:val="99"/>
    <w:qFormat/>
    <w:pPr>
      <w:pBdr/>
      <w:spacing w:after="160" w:before="200" w:line="240" w:lineRule="exact"/>
      <w:ind/>
    </w:pPr>
    <w:rPr>
      <w:rFonts w:asciiTheme="minorHAnsi" w:hAnsiTheme="minorHAnsi" w:eastAsiaTheme="minorHAnsi" w:cstheme="minorBidi"/>
      <w:sz w:val="24"/>
      <w:szCs w:val="24"/>
      <w:vertAlign w:val="superscript"/>
      <w:lang w:val="es-PE"/>
      <w14:ligatures w14:val="standardContextual"/>
    </w:rPr>
  </w:style>
  <w:style w:type="table" w:styleId="1053">
    <w:name w:val="Table Grid"/>
    <w:basedOn w:val="858"/>
    <w:uiPriority w:val="39"/>
    <w:pPr>
      <w:pBdr/>
      <w:spacing w:after="0" w:line="240" w:lineRule="auto"/>
      <w:ind/>
    </w:pPr>
    <w:rPr>
      <w:rFonts w:eastAsiaTheme="minorEastAsia"/>
      <w:sz w:val="22"/>
      <w:szCs w:val="22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Light"/>
    <w:basedOn w:val="858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Plain Table 1"/>
    <w:basedOn w:val="858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Plain Table 3"/>
    <w:basedOn w:val="858"/>
    <w:uiPriority w:val="43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Plain Table 4"/>
    <w:basedOn w:val="858"/>
    <w:uiPriority w:val="4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Plain Table 5"/>
    <w:basedOn w:val="858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Plain Table 2"/>
    <w:basedOn w:val="858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0" w:customStyle="1">
    <w:name w:val="docdata"/>
    <w:basedOn w:val="857"/>
    <w:pPr>
      <w:pBdr/>
      <w:spacing/>
      <w:ind/>
    </w:pPr>
  </w:style>
  <w:style w:type="paragraph" w:styleId="1061">
    <w:name w:val="Normal (Web)"/>
    <w:basedOn w:val="84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es-PE" w:eastAsia="es-PE"/>
    </w:rPr>
  </w:style>
  <w:style w:type="character" w:styleId="1062" w:customStyle="1">
    <w:name w:val="Párrafo de lista Car"/>
    <w:link w:val="1039"/>
    <w:qFormat/>
    <w:pPr>
      <w:pBdr/>
      <w:spacing/>
      <w:ind/>
    </w:pPr>
    <w:rPr>
      <w:rFonts w:ascii="Calibri" w:hAnsi="Calibri" w:eastAsia="Calibri" w:cs="Times New Roman"/>
      <w:sz w:val="22"/>
      <w:szCs w:val="22"/>
      <w:lang w:val="es-E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E8DE-2C25-455E-8F22-943B31CAA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 07</dc:creator>
  <cp:keywords/>
  <dc:description/>
  <cp:lastModifiedBy>Christian Jose Tamara Necochea</cp:lastModifiedBy>
  <cp:revision>137</cp:revision>
  <dcterms:created xsi:type="dcterms:W3CDTF">2026-01-16T01:05:00Z</dcterms:created>
  <dcterms:modified xsi:type="dcterms:W3CDTF">2026-03-27T17:27:18Z</dcterms:modified>
</cp:coreProperties>
</file>