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523675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A7BC1" w:rsidRDefault="00BA7BC1">
          <w:pPr>
            <w:rPr>
              <w:lang w:val="es-ES"/>
            </w:rPr>
          </w:pPr>
        </w:p>
        <w:p w:rsidR="00BA7BC1" w:rsidRDefault="00BA7BC1">
          <w:pPr>
            <w:rPr>
              <w:lang w:val="es-ES"/>
            </w:rPr>
          </w:pPr>
          <w:r w:rsidRPr="00831DE1">
            <w:rPr>
              <w:noProof/>
              <w:lang w:val="es-E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39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B6B3793B28F6415D8D0E6CFCB2B4175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C474A" w:rsidRDefault="006C474A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UNADM</w:t>
                            </w:r>
                          </w:p>
                        </w:sdtContent>
                      </w:sdt>
                      <w:p w:rsidR="006C474A" w:rsidRDefault="006C474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8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placeholder>
                            <w:docPart w:val="B6C7B7540650483DBC70EC6D52E1BE0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5-24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C474A" w:rsidRDefault="006C474A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placeholder>
                            <w:docPart w:val="91A0366CDF214D9488DCFA3041BC4D7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C474A" w:rsidRDefault="006C474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Funciones Características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placeholder>
                            <w:docPart w:val="EDBFEB6B511B42E186DFD00A28B9786D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C474A" w:rsidRDefault="006C474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[Escribir el subtítulo del documento]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placeholder>
                            <w:docPart w:val="4ACC52E62EB048D28FF49630DBEF2080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C474A" w:rsidRDefault="006C474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ExpeUEW7</w:t>
                            </w:r>
                          </w:p>
                        </w:sdtContent>
                      </w:sdt>
                      <w:p w:rsidR="006C474A" w:rsidRDefault="006C474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A7BC1" w:rsidRDefault="00BA7BC1">
          <w:r>
            <w:br w:type="page"/>
          </w:r>
        </w:p>
      </w:sdtContent>
    </w:sdt>
    <w:p w:rsidR="008B534A" w:rsidRDefault="008B534A" w:rsidP="00CC4A95">
      <w:pPr>
        <w:jc w:val="both"/>
      </w:pPr>
    </w:p>
    <w:p w:rsidR="008B534A" w:rsidRDefault="008B534A" w:rsidP="008B534A">
      <w:pPr>
        <w:jc w:val="both"/>
      </w:pPr>
      <w:r>
        <w:t>1. Introducción. En este trabajo se discuten cierta</w:t>
      </w:r>
      <w:r w:rsidR="00536737">
        <w:t xml:space="preserve">s propiedades de característica </w:t>
      </w:r>
      <w:r>
        <w:t>funciones. Teorema 1 da una condición suficien</w:t>
      </w:r>
      <w:r w:rsidR="00536737">
        <w:t xml:space="preserve">te en la función característica </w:t>
      </w:r>
      <w:r>
        <w:t xml:space="preserve">de una distribución con el fin de que deben existir los </w:t>
      </w:r>
      <w:r w:rsidR="00536737">
        <w:t xml:space="preserve">momentos de la distribución. La </w:t>
      </w:r>
      <w:r>
        <w:t>existencia de los momentos es generalmente probada bajo el su</w:t>
      </w:r>
      <w:r w:rsidR="00536737">
        <w:t xml:space="preserve">puesto de que la característica </w:t>
      </w:r>
      <w:r>
        <w:t xml:space="preserve">función es diferenciable [4]. La </w:t>
      </w:r>
      <w:r w:rsidR="00536737">
        <w:t xml:space="preserve">condición del teorema 1 es algo </w:t>
      </w:r>
      <w:r>
        <w:t>más general y la prueba más corta y más el</w:t>
      </w:r>
      <w:r w:rsidR="00536737">
        <w:t xml:space="preserve">emental. Los teoremas restantes </w:t>
      </w:r>
      <w:r>
        <w:t>se ocupan de funciones características analíticas, y de nuevo a</w:t>
      </w:r>
      <w:r w:rsidR="00536737">
        <w:t>lgunos resultados conocidos son demostrados</w:t>
      </w:r>
      <w:r>
        <w:t xml:space="preserve"> de una manera simple. Algunas aplicaciones</w:t>
      </w:r>
      <w:r w:rsidR="00536737">
        <w:t xml:space="preserve"> se discuten; en particular, es </w:t>
      </w:r>
      <w:r>
        <w:t>demostrado que una función característica analítica de una ley infinitamente</w:t>
      </w:r>
      <w:r w:rsidR="00536737">
        <w:t xml:space="preserve"> divisible puede </w:t>
      </w:r>
      <w:r>
        <w:t xml:space="preserve">no tienen ceros dentro de su franja de convergencia. Esta propiedad </w:t>
      </w:r>
      <w:r w:rsidR="00536737">
        <w:t xml:space="preserve">se utiliza para la construcción </w:t>
      </w:r>
      <w:r>
        <w:t>un ejemplo donde se factoriza una ley infinitamente divisib</w:t>
      </w:r>
      <w:r w:rsidR="00536737">
        <w:t xml:space="preserve">le (la distribución de </w:t>
      </w:r>
      <w:proofErr w:type="spellStart"/>
      <w:r w:rsidR="00536737">
        <w:t>Laplace</w:t>
      </w:r>
      <w:proofErr w:type="spellEnd"/>
      <w:r w:rsidR="00536737">
        <w:t xml:space="preserve">) </w:t>
      </w:r>
      <w:r>
        <w:t xml:space="preserve">en dos factores </w:t>
      </w:r>
      <w:proofErr w:type="spellStart"/>
      <w:r>
        <w:t>noninfinitely</w:t>
      </w:r>
      <w:proofErr w:type="spellEnd"/>
      <w:r>
        <w:t xml:space="preserve"> divisibles.</w:t>
      </w:r>
    </w:p>
    <w:p w:rsidR="008B534A" w:rsidRDefault="008B534A" w:rsidP="00CC4A95">
      <w:pPr>
        <w:jc w:val="both"/>
      </w:pPr>
    </w:p>
    <w:p w:rsidR="00A4232B" w:rsidRDefault="00EA4971" w:rsidP="00CC4A95">
      <w:pPr>
        <w:jc w:val="both"/>
        <w:rPr>
          <w:rFonts w:eastAsiaTheme="minorEastAsia"/>
        </w:rPr>
      </w:pPr>
      <w:r>
        <w:t>Teorema de existencia. Sea F(x)  una distribución de Probabilidad</w:t>
      </w:r>
      <w:r w:rsidR="00CC4A95">
        <w:t xml:space="preserve">, que sea, un nunca  </w:t>
      </w:r>
      <w:proofErr w:type="spellStart"/>
      <w:r>
        <w:t>desicrementa</w:t>
      </w:r>
      <w:proofErr w:type="spellEnd"/>
      <w:r>
        <w:t xml:space="preserve">, función continua por la derecha tal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+∞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La transformada de </w:t>
      </w:r>
      <w:r w:rsidR="00CC4A95">
        <w:rPr>
          <w:rFonts w:eastAsiaTheme="minorEastAsia"/>
        </w:rPr>
        <w:t>Fourier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, que es la función:</w:t>
      </w:r>
    </w:p>
    <w:p w:rsidR="00EA4971" w:rsidRDefault="00EA4971" w:rsidP="00CC4A95">
      <w:pPr>
        <w:jc w:val="both"/>
        <w:rPr>
          <w:rFonts w:eastAsiaTheme="minorEastAsi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2"/>
        <w:gridCol w:w="2993"/>
        <w:gridCol w:w="2993"/>
      </w:tblGrid>
      <w:tr w:rsidR="00EA4971" w:rsidTr="00EA4971">
        <w:tc>
          <w:tcPr>
            <w:tcW w:w="2992" w:type="dxa"/>
          </w:tcPr>
          <w:p w:rsidR="00EA4971" w:rsidRDefault="00EA4971" w:rsidP="00CC4A95">
            <w:pPr>
              <w:jc w:val="both"/>
              <w:rPr>
                <w:rFonts w:eastAsiaTheme="minorEastAsia"/>
              </w:rPr>
            </w:pPr>
          </w:p>
        </w:tc>
        <w:tc>
          <w:tcPr>
            <w:tcW w:w="2993" w:type="dxa"/>
          </w:tcPr>
          <w:p w:rsidR="00EA4971" w:rsidRDefault="00EA4971" w:rsidP="00CC4A95">
            <w:pPr>
              <w:ind w:left="-440" w:right="-752" w:firstLine="440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itx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dF(x)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2993" w:type="dxa"/>
          </w:tcPr>
          <w:p w:rsidR="00EA4971" w:rsidRDefault="00EA4971" w:rsidP="00CC4A95">
            <w:pPr>
              <w:ind w:left="394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1.1)</m:t>
              </m:r>
            </m:oMath>
          </w:p>
        </w:tc>
      </w:tr>
    </w:tbl>
    <w:p w:rsidR="00EA4971" w:rsidRDefault="00EA4971" w:rsidP="00CC4A95">
      <w:pPr>
        <w:jc w:val="both"/>
        <w:rPr>
          <w:rFonts w:eastAsiaTheme="minorEastAsia"/>
        </w:rPr>
      </w:pPr>
    </w:p>
    <w:p w:rsidR="00EA4971" w:rsidRDefault="00EA4971" w:rsidP="00CC4A95">
      <w:pPr>
        <w:jc w:val="both"/>
        <w:rPr>
          <w:rFonts w:eastAsiaTheme="minorEastAsia"/>
        </w:rPr>
      </w:pPr>
      <w:r>
        <w:t xml:space="preserve">Es llamada la función característica de la distribución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. La </w:t>
      </w:r>
      <w:r w:rsidR="00CC4A95">
        <w:rPr>
          <w:rFonts w:eastAsiaTheme="minorEastAsia"/>
        </w:rPr>
        <w:t xml:space="preserve">Función </w:t>
      </w:r>
      <w:r>
        <w:rPr>
          <w:rFonts w:eastAsiaTheme="minorEastAsia"/>
        </w:rPr>
        <w:t xml:space="preserve">característica </w:t>
      </w:r>
      <w:r w:rsidR="00CC4A95">
        <w:rPr>
          <w:rFonts w:eastAsiaTheme="minorEastAsia"/>
        </w:rPr>
        <w:t xml:space="preserve"> existe para los valores reales de t para cualquier distribución, pero la integral (1.1) no siempre existe para complejo t. </w:t>
      </w:r>
      <w:r w:rsidR="00CC4A95" w:rsidRPr="00CC4A95">
        <w:rPr>
          <w:rFonts w:eastAsiaTheme="minorEastAsia"/>
        </w:rPr>
        <w:t>En este trabajo se trata en</w:t>
      </w:r>
      <w:r w:rsidR="00CC4A95">
        <w:rPr>
          <w:rFonts w:eastAsiaTheme="minorEastAsia"/>
        </w:rPr>
        <w:t xml:space="preserve"> su mayoría con características </w:t>
      </w:r>
      <w:r w:rsidR="00CC4A95" w:rsidRPr="00CC4A95">
        <w:rPr>
          <w:rFonts w:eastAsiaTheme="minorEastAsia"/>
        </w:rPr>
        <w:t>funciones que son analíticas en un entorno del origen.</w:t>
      </w:r>
    </w:p>
    <w:p w:rsidR="00CC4A95" w:rsidRDefault="00CC4A95" w:rsidP="00CC4A9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cualquier función arbitraria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(γ)</m:t>
        </m:r>
      </m:oMath>
      <w:r w:rsidR="00E51963">
        <w:rPr>
          <w:rFonts w:eastAsiaTheme="minorEastAsia"/>
        </w:rPr>
        <w:t xml:space="preserve">, nosotros denotamos en la siguiente la primera diferencia finita por </w:t>
      </w:r>
    </w:p>
    <w:p w:rsidR="00E51963" w:rsidRDefault="00F93FF0" w:rsidP="00CC4A9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  <m:r>
            <w:rPr>
              <w:rFonts w:ascii="Cambria Math" w:eastAsiaTheme="minorEastAsia" w:hAnsi="Cambria Math"/>
            </w:rPr>
            <m:t>=∆f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γ+t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γ-t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93FF0" w:rsidRDefault="00F93FF0" w:rsidP="00CC4A95">
      <w:pPr>
        <w:jc w:val="both"/>
        <w:rPr>
          <w:rFonts w:eastAsiaTheme="minorEastAsia"/>
        </w:rPr>
      </w:pPr>
      <w:proofErr w:type="gramStart"/>
      <w:r w:rsidRPr="00F93FF0">
        <w:rPr>
          <w:rFonts w:eastAsiaTheme="minorEastAsia"/>
        </w:rPr>
        <w:t>y</w:t>
      </w:r>
      <w:proofErr w:type="gramEnd"/>
      <w:r w:rsidRPr="00F93FF0">
        <w:rPr>
          <w:rFonts w:eastAsiaTheme="minorEastAsia"/>
        </w:rPr>
        <w:t xml:space="preserve"> definir las diferencias más altas por</w:t>
      </w:r>
    </w:p>
    <w:p w:rsidR="00F93FF0" w:rsidRDefault="00F93FF0" w:rsidP="00CC4A9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</m:oMath>
      </m:oMathPara>
    </w:p>
    <w:p w:rsidR="00F93FF0" w:rsidRDefault="00F93FF0" w:rsidP="00CC4A95">
      <w:pPr>
        <w:jc w:val="both"/>
        <w:rPr>
          <w:rFonts w:eastAsiaTheme="minorEastAsia"/>
        </w:rPr>
      </w:pPr>
      <w:proofErr w:type="gramStart"/>
      <w:r w:rsidRPr="00F93FF0">
        <w:rPr>
          <w:rFonts w:eastAsiaTheme="minorEastAsia"/>
        </w:rPr>
        <w:t>para</w:t>
      </w:r>
      <w:proofErr w:type="gramEnd"/>
      <w:r w:rsidRPr="00F93F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- 1, 2</m:t>
        </m:r>
      </m:oMath>
      <w:r w:rsidRPr="00F93FF0">
        <w:rPr>
          <w:rFonts w:eastAsiaTheme="minorEastAsia"/>
        </w:rPr>
        <w:t>, Se puede entonces fácilmente demostrarse que</w:t>
      </w:r>
    </w:p>
    <w:p w:rsidR="00F93FF0" w:rsidRDefault="00F93FF0" w:rsidP="00CC4A9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n-2k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F93FF0" w:rsidRDefault="00F93FF0" w:rsidP="00F93FF0">
      <w:pPr>
        <w:rPr>
          <w:rFonts w:eastAsiaTheme="minorEastAsia"/>
          <w:noProof/>
          <w:lang w:eastAsia="es-AR"/>
        </w:rPr>
      </w:pPr>
      <w:r>
        <w:rPr>
          <w:rFonts w:eastAsiaTheme="minorEastAsia"/>
          <w:noProof/>
          <w:lang w:eastAsia="es-AR"/>
        </w:rPr>
        <w:lastRenderedPageBreak/>
        <w:t>En particular la funcion</w:t>
      </w:r>
      <w:r w:rsidR="008B534A">
        <w:rPr>
          <w:rFonts w:eastAsiaTheme="minorEastAsia"/>
          <w:noProof/>
          <w:lang w:eastAsia="es-AR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es-A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es-AR"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  <w:noProof/>
            <w:lang w:eastAsia="es-A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es-A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es-AR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eastAsia="es-AR"/>
              </w:rPr>
              <m:t>im</m:t>
            </m:r>
            <m:r>
              <w:rPr>
                <w:rFonts w:ascii="Cambria Math" w:eastAsiaTheme="minorEastAsia" w:hAnsi="Cambria Math"/>
              </w:rPr>
              <m:t>γ</m:t>
            </m:r>
          </m:sup>
        </m:sSup>
      </m:oMath>
      <w:r w:rsidR="008B534A">
        <w:rPr>
          <w:rFonts w:eastAsiaTheme="minorEastAsia"/>
          <w:noProof/>
          <w:lang w:eastAsia="es-AR"/>
        </w:rPr>
        <w:t xml:space="preserve"> nosotros tenemos que </w:t>
      </w:r>
    </w:p>
    <w:p w:rsidR="008B534A" w:rsidRDefault="008B534A" w:rsidP="008B534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imγ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im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-imγ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imγ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(mt)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B5A57" w:rsidRDefault="006B5A57" w:rsidP="008B534A">
      <w:pPr>
        <w:jc w:val="both"/>
        <w:rPr>
          <w:rFonts w:eastAsiaTheme="minorEastAsia"/>
        </w:rPr>
      </w:pPr>
      <w:r>
        <w:rPr>
          <w:rFonts w:eastAsiaTheme="minorEastAsia"/>
        </w:rPr>
        <w:t>Primero se prueba dos lemas.</w:t>
      </w:r>
    </w:p>
    <w:p w:rsidR="006B5A57" w:rsidRDefault="006B5A57" w:rsidP="006B5A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Lema 1. Sea </w:t>
      </w:r>
      <m:oMath>
        <m:r>
          <w:rPr>
            <w:rFonts w:ascii="Cambria Math" w:eastAsiaTheme="minorEastAsia" w:hAnsi="Cambria Math"/>
          </w:rPr>
          <m:t>ϕ(t)</m:t>
        </m:r>
      </m:oMath>
      <w:r>
        <w:rPr>
          <w:rFonts w:eastAsiaTheme="minorEastAsia"/>
        </w:rPr>
        <w:t xml:space="preserve">  la función característica de la probabilidad de la función de distribución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y sea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0;t</m:t>
            </m:r>
          </m:e>
        </m:d>
        <m:r>
          <w:rPr>
            <w:rFonts w:ascii="Cambria Math" w:eastAsiaTheme="minorEastAsia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(2t)</m:t>
            </m:r>
          </m:e>
          <m:sup>
            <m:r>
              <w:rPr>
                <w:rFonts w:ascii="Cambria Math" w:eastAsiaTheme="minorEastAsia" w:hAnsi="Cambria Math"/>
              </w:rPr>
              <m:t>2k</m:t>
            </m:r>
          </m:sup>
        </m:sSup>
      </m:oMath>
      <w:r>
        <w:rPr>
          <w:rFonts w:eastAsiaTheme="minorEastAsia"/>
        </w:rPr>
        <w:t xml:space="preserve"> sea </w:t>
      </w:r>
      <m:oMath>
        <m:r>
          <w:rPr>
            <w:rFonts w:ascii="Cambria Math" w:eastAsiaTheme="minorEastAsia" w:hAnsi="Cambria Math"/>
          </w:rPr>
          <m:t>2k</m:t>
        </m:r>
      </m:oMath>
      <w:r>
        <w:rPr>
          <w:rFonts w:eastAsiaTheme="minorEastAsia"/>
        </w:rPr>
        <w:t xml:space="preserve">la diferencia cociente </w:t>
      </w:r>
      <m:oMath>
        <m:r>
          <w:rPr>
            <w:rFonts w:ascii="Cambria Math" w:eastAsiaTheme="minorEastAsia" w:hAnsi="Cambria Math"/>
          </w:rPr>
          <m:t>ϕ(t)</m:t>
        </m:r>
      </m:oMath>
      <w:r>
        <w:rPr>
          <w:rFonts w:eastAsiaTheme="minorEastAsia"/>
        </w:rPr>
        <w:t xml:space="preserve"> en el origen. Se asume que </w:t>
      </w:r>
    </w:p>
    <w:p w:rsidR="006B5A57" w:rsidRDefault="006B5A57" w:rsidP="006B5A57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0;t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(2t)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2k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&lt;∞</m:t>
          </m:r>
        </m:oMath>
      </m:oMathPara>
    </w:p>
    <w:p w:rsidR="008B534A" w:rsidRDefault="006B5A57" w:rsidP="006B5A57">
      <w:pPr>
        <w:jc w:val="both"/>
        <w:rPr>
          <w:rFonts w:eastAsiaTheme="minorEastAsia"/>
        </w:rPr>
      </w:pPr>
      <w:r w:rsidRPr="006B5A57">
        <w:rPr>
          <w:rFonts w:eastAsiaTheme="minorEastAsia"/>
        </w:rPr>
        <w:t xml:space="preserve">Entonces el momento </w:t>
      </w:r>
      <m:oMath>
        <m:r>
          <w:rPr>
            <w:rFonts w:ascii="Cambria Math" w:eastAsiaTheme="minorEastAsia" w:hAnsi="Cambria Math"/>
          </w:rPr>
          <m:t xml:space="preserve">2kth </m:t>
        </m:r>
      </m:oMath>
      <w:r w:rsidRPr="006B5A57">
        <w:rPr>
          <w:rFonts w:eastAsiaTheme="minorEastAsia"/>
        </w:rPr>
        <w:t xml:space="preserve"> de la distribución </w:t>
      </w:r>
      <m:oMath>
        <m:r>
          <w:rPr>
            <w:rFonts w:ascii="Cambria Math" w:eastAsiaTheme="minorEastAsia" w:hAnsi="Cambria Math"/>
          </w:rPr>
          <m:t>F (x)</m:t>
        </m:r>
      </m:oMath>
      <w:r w:rsidRPr="006B5A57">
        <w:rPr>
          <w:rFonts w:eastAsiaTheme="minorEastAsia"/>
        </w:rPr>
        <w:t xml:space="preserve"> existe, </w:t>
      </w:r>
      <w:r>
        <w:rPr>
          <w:rFonts w:eastAsiaTheme="minorEastAsia"/>
        </w:rPr>
        <w:t xml:space="preserve">al igual que todos los momentos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6B5A57">
        <w:rPr>
          <w:rFonts w:eastAsiaTheme="minorEastAsia"/>
        </w:rPr>
        <w:t xml:space="preserve"> de orden </w:t>
      </w:r>
      <m:oMath>
        <m:r>
          <w:rPr>
            <w:rFonts w:ascii="Cambria Math" w:eastAsiaTheme="minorEastAsia" w:hAnsi="Cambria Math"/>
          </w:rPr>
          <m:t>r &lt;2k</m:t>
        </m:r>
      </m:oMath>
      <w:r w:rsidRPr="006B5A57">
        <w:rPr>
          <w:rFonts w:eastAsiaTheme="minorEastAsia"/>
        </w:rPr>
        <w:t>.</w:t>
      </w:r>
    </w:p>
    <w:p w:rsidR="006B5A57" w:rsidRDefault="006B5A57" w:rsidP="006B5A57">
      <w:pPr>
        <w:jc w:val="both"/>
        <w:rPr>
          <w:rFonts w:eastAsiaTheme="minorEastAsia"/>
        </w:rPr>
      </w:pPr>
      <w:r w:rsidRPr="006B5A57">
        <w:rPr>
          <w:rFonts w:eastAsiaTheme="minorEastAsia"/>
        </w:rPr>
        <w:t xml:space="preserve">Lema 2. En los supuestos de Lema 1, existen los derivados </w:t>
      </w:r>
      <m:oMath>
        <m:r>
          <w:rPr>
            <w:rFonts w:ascii="Cambria Math" w:eastAsiaTheme="minorEastAsia" w:hAnsi="Cambria Math"/>
          </w:rPr>
          <m:t>φ (t)</m:t>
        </m:r>
      </m:oMath>
      <w:r w:rsidR="004132FF">
        <w:rPr>
          <w:rFonts w:eastAsiaTheme="minorEastAsia"/>
        </w:rPr>
        <w:t xml:space="preserve"> </w:t>
      </w:r>
      <w:r w:rsidRPr="006B5A57">
        <w:rPr>
          <w:rFonts w:eastAsiaTheme="minorEastAsia"/>
        </w:rPr>
        <w:t xml:space="preserve">para todo </w:t>
      </w:r>
      <m:oMath>
        <m:r>
          <w:rPr>
            <w:rFonts w:ascii="Cambria Math" w:eastAsiaTheme="minorEastAsia" w:hAnsi="Cambria Math"/>
          </w:rPr>
          <m:t xml:space="preserve">t </m:t>
        </m:r>
      </m:oMath>
      <w:r w:rsidRPr="006B5A57">
        <w:rPr>
          <w:rFonts w:eastAsiaTheme="minorEastAsia"/>
        </w:rPr>
        <w:t xml:space="preserve">y para </w:t>
      </w:r>
      <m:oMath>
        <m:r>
          <w:rPr>
            <w:rFonts w:ascii="Cambria Math" w:eastAsiaTheme="minorEastAsia" w:hAnsi="Cambria Math"/>
          </w:rPr>
          <m:t>r = 1, 2,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 2k</m:t>
        </m:r>
      </m:oMath>
      <w:r w:rsidRPr="006B5A57">
        <w:rPr>
          <w:rFonts w:eastAsiaTheme="minorEastAsia"/>
        </w:rPr>
        <w:t xml:space="preserve"> y</w:t>
      </w:r>
      <w:r w:rsidR="004132FF">
        <w:rPr>
          <w:rFonts w:eastAsiaTheme="minorEastAsia"/>
        </w:rPr>
        <w:t xml:space="preserve"> </w:t>
      </w:r>
    </w:p>
    <w:p w:rsidR="004132FF" w:rsidRDefault="004132FF" w:rsidP="006B5A5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(r)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4132FF" w:rsidRDefault="004132FF" w:rsidP="006B5A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otro lado,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(2r)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(2r)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r=1,2,…,k.</m:t>
        </m:r>
      </m:oMath>
    </w:p>
    <w:p w:rsidR="004132FF" w:rsidRDefault="004132FF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Prueba. </w:t>
      </w:r>
      <w:r w:rsidRPr="004132FF">
        <w:rPr>
          <w:rFonts w:eastAsiaTheme="minorEastAsia"/>
        </w:rPr>
        <w:t>La suposición del Lema 1 signif</w:t>
      </w:r>
      <w:r>
        <w:rPr>
          <w:rFonts w:eastAsiaTheme="minorEastAsia"/>
        </w:rPr>
        <w:t xml:space="preserve">ica que hay una constante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</w:t>
      </w:r>
      <w:r w:rsidRPr="004132FF">
        <w:rPr>
          <w:rFonts w:eastAsiaTheme="minorEastAsia"/>
        </w:rPr>
        <w:t>de tal manera que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2"/>
        <w:gridCol w:w="2993"/>
        <w:gridCol w:w="2993"/>
      </w:tblGrid>
      <w:tr w:rsidR="004132FF" w:rsidTr="004132FF">
        <w:tc>
          <w:tcPr>
            <w:tcW w:w="2992" w:type="dxa"/>
          </w:tcPr>
          <w:p w:rsidR="004132FF" w:rsidRDefault="004132FF" w:rsidP="004132FF">
            <w:pPr>
              <w:jc w:val="both"/>
              <w:rPr>
                <w:rFonts w:eastAsiaTheme="minorEastAsia"/>
              </w:rPr>
            </w:pPr>
          </w:p>
        </w:tc>
        <w:tc>
          <w:tcPr>
            <w:tcW w:w="2993" w:type="dxa"/>
          </w:tcPr>
          <w:p w:rsidR="004132FF" w:rsidRDefault="004132FF" w:rsidP="004132FF">
            <w:pPr>
              <w:jc w:val="both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t→0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inf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0;t</m:t>
                                    </m:r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(2t)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</w:rPr>
                  <m:t>=M</m:t>
                </m:r>
              </m:oMath>
            </m:oMathPara>
          </w:p>
          <w:p w:rsidR="004132FF" w:rsidRDefault="004132FF" w:rsidP="004132FF">
            <w:pPr>
              <w:jc w:val="both"/>
              <w:rPr>
                <w:rFonts w:eastAsiaTheme="minorEastAsia"/>
              </w:rPr>
            </w:pPr>
          </w:p>
        </w:tc>
        <w:tc>
          <w:tcPr>
            <w:tcW w:w="2993" w:type="dxa"/>
          </w:tcPr>
          <w:p w:rsidR="004132FF" w:rsidRDefault="004132FF" w:rsidP="004132F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(1.2)</w:t>
            </w:r>
          </w:p>
        </w:tc>
      </w:tr>
    </w:tbl>
    <w:p w:rsidR="004132FF" w:rsidRDefault="00163C94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es visto que para </w:t>
      </w:r>
    </w:p>
    <w:p w:rsidR="00163C94" w:rsidRDefault="00163C94" w:rsidP="004132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163C94" w:rsidRDefault="00163C94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Nosotros tenemos </w:t>
      </w:r>
    </w:p>
    <w:p w:rsidR="00163C94" w:rsidRDefault="00163C94" w:rsidP="004132F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2k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γ;t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(mt)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163C94" w:rsidRDefault="00163C94" w:rsidP="004132FF">
      <w:pPr>
        <w:jc w:val="both"/>
        <w:rPr>
          <w:rFonts w:eastAsiaTheme="minorEastAsia"/>
        </w:rPr>
      </w:pPr>
      <w:r>
        <w:rPr>
          <w:rFonts w:eastAsiaTheme="minorEastAsia"/>
        </w:rPr>
        <w:t>Y</w:t>
      </w:r>
    </w:p>
    <w:p w:rsidR="00163C94" w:rsidRDefault="00163C94" w:rsidP="004132FF">
      <w:pPr>
        <w:jc w:val="both"/>
        <w:rPr>
          <w:rFonts w:eastAsiaTheme="minorEastAsia"/>
        </w:rPr>
      </w:pPr>
    </w:p>
    <w:p w:rsidR="00163C94" w:rsidRDefault="00163C94" w:rsidP="004132FF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0;t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(2t)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4F7F79" w:rsidRDefault="004F7F79" w:rsidP="004132F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Nosotros vemos (1.2) queda de la forma</w:t>
      </w:r>
    </w:p>
    <w:p w:rsidR="004F7F79" w:rsidRDefault="004F7F79" w:rsidP="004132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4F7F79" w:rsidRDefault="004F7F79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 por lo tanto </w:t>
      </w:r>
    </w:p>
    <w:p w:rsidR="004F7F79" w:rsidRDefault="004F7F79" w:rsidP="004132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M≥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+a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+a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4F7F79" w:rsidRDefault="004F7F79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algún finito a.  Sigue luego que la </w:t>
      </w:r>
      <m:oMath>
        <m:r>
          <w:rPr>
            <w:rFonts w:ascii="Cambria Math" w:eastAsiaTheme="minorEastAsia" w:hAnsi="Cambria Math"/>
          </w:rPr>
          <m:t>2k</m:t>
        </m:r>
      </m:oMath>
      <w:r>
        <w:rPr>
          <w:rFonts w:eastAsiaTheme="minorEastAsia"/>
        </w:rPr>
        <w:t>th momento</w:t>
      </w:r>
    </w:p>
    <w:p w:rsidR="004F7F79" w:rsidRDefault="004F7F79" w:rsidP="004132F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6016A9" w:rsidRDefault="006016A9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Existe y que </w:t>
      </w:r>
      <m:oMath>
        <m:r>
          <w:rPr>
            <w:rFonts w:ascii="Cambria Math" w:eastAsiaTheme="minorEastAsia" w:hAnsi="Cambria Math"/>
          </w:rPr>
          <m:t>M≥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Sea el siguiente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sea una integral positiva tal que </w:t>
      </w:r>
      <m:oMath>
        <m:r>
          <w:rPr>
            <w:rFonts w:ascii="Cambria Math" w:eastAsiaTheme="minorEastAsia" w:hAnsi="Cambria Math"/>
          </w:rPr>
          <m:t>r&lt;</m:t>
        </m:r>
        <m:r>
          <w:rPr>
            <w:rFonts w:ascii="Cambria Math" w:eastAsiaTheme="minorEastAsia" w:hAnsi="Cambria Math"/>
          </w:rPr>
          <m:t>k;</m:t>
        </m:r>
      </m:oMath>
      <w:r>
        <w:rPr>
          <w:rFonts w:eastAsiaTheme="minorEastAsia"/>
        </w:rPr>
        <w:t xml:space="preserve"> luego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2r</m:t>
            </m:r>
          </m:sup>
        </m:sSup>
      </m:oMath>
      <w:r>
        <w:rPr>
          <w:rFonts w:eastAsiaTheme="minorEastAsia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>, y</w:t>
      </w:r>
    </w:p>
    <w:p w:rsidR="006016A9" w:rsidRDefault="006016A9" w:rsidP="000B59A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2k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  <m:r>
            <w:rPr>
              <w:rFonts w:ascii="Cambria Math" w:eastAsiaTheme="minorEastAsia" w:hAnsi="Cambria Math"/>
            </w:rPr>
            <m:t>&gt;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6016A9" w:rsidRDefault="004E66FA" w:rsidP="004132FF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Asi</w:t>
      </w:r>
      <w:proofErr w:type="spellEnd"/>
      <w:r>
        <w:rPr>
          <w:rFonts w:eastAsiaTheme="minorEastAsia"/>
        </w:rPr>
        <w:t xml:space="preserve"> que los momentos de cada orden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r=1,2,…,2k</m:t>
            </m:r>
          </m:e>
        </m:d>
      </m:oMath>
      <w:r w:rsidR="00224826">
        <w:rPr>
          <w:rFonts w:eastAsiaTheme="minorEastAsia"/>
        </w:rPr>
        <w:t xml:space="preserve"> </w:t>
      </w:r>
      <w:proofErr w:type="gramStart"/>
      <w:r w:rsidR="00224826">
        <w:rPr>
          <w:rFonts w:eastAsiaTheme="minorEastAsia"/>
        </w:rPr>
        <w:t>existe</w:t>
      </w:r>
      <w:proofErr w:type="gramEnd"/>
      <w:r w:rsidR="00224826">
        <w:rPr>
          <w:rFonts w:eastAsiaTheme="minorEastAsia"/>
        </w:rPr>
        <w:t xml:space="preserve"> también. Por otra parte</w:t>
      </w:r>
    </w:p>
    <w:p w:rsidR="00224826" w:rsidRDefault="00224826" w:rsidP="004132FF">
      <w:pPr>
        <w:jc w:val="both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2r-1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2r-2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2r-2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6C474A" w:rsidRDefault="006C474A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algún a y b. Esto muestra que los momentos de orden impar no exceden </w:t>
      </w:r>
      <m:oMath>
        <m:r>
          <w:rPr>
            <w:rFonts w:ascii="Cambria Math" w:eastAsiaTheme="minorEastAsia" w:hAnsi="Cambria Math"/>
          </w:rPr>
          <m:t>2k</m:t>
        </m:r>
      </m:oMath>
      <w:r>
        <w:rPr>
          <w:rFonts w:eastAsiaTheme="minorEastAsia"/>
        </w:rPr>
        <w:t xml:space="preserve">, y por ende también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2r-1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r=1,2,…,2k</m:t>
            </m:r>
          </m:e>
        </m:d>
      </m:oMath>
      <w:r>
        <w:rPr>
          <w:rFonts w:eastAsiaTheme="minorEastAsia"/>
        </w:rPr>
        <w:t xml:space="preserve"> existe. Esto prueba el lema 1.</w:t>
      </w:r>
    </w:p>
    <w:p w:rsidR="00224826" w:rsidRDefault="00186DA4" w:rsidP="003913E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la existencia de momentos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r=1,2,…,2k</m:t>
            </m:r>
          </m:e>
        </m:d>
      </m:oMath>
      <w:r>
        <w:rPr>
          <w:rFonts w:eastAsiaTheme="minorEastAsia"/>
        </w:rPr>
        <w:t xml:space="preserve"> nosotros observamos inmediatamente que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nary>
      </m:oMath>
      <w:r w:rsidR="008C10DF">
        <w:rPr>
          <w:rFonts w:eastAsiaTheme="minorEastAsia"/>
        </w:rPr>
        <w:t xml:space="preserve"> exista y </w:t>
      </w:r>
      <w:r w:rsidR="003913EE">
        <w:rPr>
          <w:rFonts w:eastAsiaTheme="minorEastAsia"/>
        </w:rPr>
        <w:t>converja</w:t>
      </w:r>
      <w:r w:rsidR="008C10DF">
        <w:rPr>
          <w:rFonts w:eastAsiaTheme="minorEastAsia"/>
        </w:rPr>
        <w:t xml:space="preserve"> absolutamente y uniformemente para todos los reales </w:t>
      </w:r>
      <m:oMath>
        <m:r>
          <w:rPr>
            <w:rFonts w:ascii="Cambria Math" w:eastAsiaTheme="minorEastAsia" w:hAnsi="Cambria Math"/>
          </w:rPr>
          <m:t>t</m:t>
        </m:r>
      </m:oMath>
      <w:r w:rsidR="008C10DF">
        <w:rPr>
          <w:rFonts w:eastAsiaTheme="minorEastAsia"/>
        </w:rPr>
        <w:t xml:space="preserve"> y</w:t>
      </w:r>
      <w:r w:rsidR="003913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≤2k.</m:t>
        </m:r>
      </m:oMath>
      <w:r w:rsidR="003913EE">
        <w:rPr>
          <w:rFonts w:eastAsiaTheme="minorEastAsia"/>
        </w:rPr>
        <w:t xml:space="preserve"> </w:t>
      </w:r>
      <w:r w:rsidR="003913EE" w:rsidRPr="003913EE">
        <w:rPr>
          <w:rFonts w:eastAsiaTheme="minorEastAsia"/>
        </w:rPr>
        <w:t>De ello se desprende entonces de un teorema de que existen todos los deriva</w:t>
      </w:r>
      <w:r w:rsidR="003913EE">
        <w:rPr>
          <w:rFonts w:eastAsiaTheme="minorEastAsia"/>
        </w:rPr>
        <w:t xml:space="preserve">dos y se obtienen diferenciando </w:t>
      </w:r>
      <w:r w:rsidR="003913EE" w:rsidRPr="003913EE">
        <w:rPr>
          <w:rFonts w:eastAsiaTheme="minorEastAsia"/>
        </w:rPr>
        <w:t>bajo el signo integral. Esto demuestra el Lema 2.</w:t>
      </w:r>
    </w:p>
    <w:p w:rsidR="003913EE" w:rsidRDefault="003913EE" w:rsidP="003913EE">
      <w:pPr>
        <w:jc w:val="both"/>
        <w:rPr>
          <w:rFonts w:eastAsiaTheme="minorEastAsia"/>
        </w:rPr>
      </w:pPr>
      <w:r>
        <w:rPr>
          <w:rFonts w:eastAsiaTheme="minorEastAsia"/>
        </w:rPr>
        <w:br/>
        <w:t xml:space="preserve">Teorema 1. Sea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sea la función característica de distribución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y se asume que, para una finita secuencia de cada integral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</w:p>
    <w:p w:rsidR="003913EE" w:rsidRDefault="003913EE" w:rsidP="003913EE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0;t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(2t)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2k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3913EE" w:rsidRDefault="003913EE" w:rsidP="003913E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</w:t>
      </w:r>
      <w:r w:rsidRPr="003913EE">
        <w:rPr>
          <w:rFonts w:eastAsiaTheme="minorEastAsia"/>
        </w:rPr>
        <w:t xml:space="preserve">s finito {no necesariamente limitada) para </w:t>
      </w:r>
      <m:oMath>
        <m:r>
          <w:rPr>
            <w:rFonts w:ascii="Cambria Math" w:eastAsiaTheme="minorEastAsia" w:hAnsi="Cambria Math"/>
          </w:rPr>
          <m:t>k - 1, 2,.</m:t>
        </m:r>
      </m:oMath>
      <w:r w:rsidRPr="003913EE">
        <w:rPr>
          <w:rFonts w:eastAsiaTheme="minorEastAsia"/>
        </w:rPr>
        <w:t xml:space="preserve"> Entonces todos los momentos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Pr="003913EE">
        <w:rPr>
          <w:rFonts w:eastAsiaTheme="minorEastAsia"/>
        </w:rPr>
        <w:t xml:space="preserve">la distribución </w:t>
      </w:r>
      <m:oMath>
        <m:r>
          <w:rPr>
            <w:rFonts w:ascii="Cambria Math" w:eastAsiaTheme="minorEastAsia" w:hAnsi="Cambria Math"/>
          </w:rPr>
          <m:t>F (x)</m:t>
        </m:r>
      </m:oMath>
      <w:r w:rsidRPr="003913EE">
        <w:rPr>
          <w:rFonts w:eastAsiaTheme="minorEastAsia"/>
        </w:rPr>
        <w:t xml:space="preserve"> de existir; y </w:t>
      </w:r>
      <m:oMath>
        <m:r>
          <w:rPr>
            <w:rFonts w:ascii="Cambria Math" w:eastAsiaTheme="minorEastAsia" w:hAnsi="Cambria Math"/>
          </w:rPr>
          <m:t>φ (t)</m:t>
        </m:r>
      </m:oMath>
      <w:r w:rsidRPr="003913EE">
        <w:rPr>
          <w:rFonts w:eastAsiaTheme="minorEastAsia"/>
        </w:rPr>
        <w:t xml:space="preserve"> se pueden diferenciar de todos los bienes </w:t>
      </w:r>
      <m:oMath>
        <m:r>
          <w:rPr>
            <w:rFonts w:ascii="Cambria Math" w:eastAsiaTheme="minorEastAsia" w:hAnsi="Cambria Math"/>
          </w:rPr>
          <m:t>n</m:t>
        </m:r>
      </m:oMath>
      <w:r w:rsidRPr="003913EE">
        <w:rPr>
          <w:rFonts w:eastAsiaTheme="minorEastAsia"/>
        </w:rPr>
        <w:t xml:space="preserve"> cualquier</w:t>
      </w:r>
      <w:r>
        <w:rPr>
          <w:rFonts w:eastAsiaTheme="minorEastAsia"/>
        </w:rPr>
        <w:t xml:space="preserve"> </w:t>
      </w:r>
      <w:r w:rsidRPr="003913EE">
        <w:rPr>
          <w:rFonts w:eastAsiaTheme="minorEastAsia"/>
        </w:rPr>
        <w:t>número de veces, con</w:t>
      </w:r>
    </w:p>
    <w:p w:rsidR="003913EE" w:rsidRDefault="00F93FDE" w:rsidP="003913E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(r)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3913EE" w:rsidRDefault="00D5690F" w:rsidP="00D5690F">
      <w:pPr>
        <w:jc w:val="both"/>
        <w:rPr>
          <w:rFonts w:eastAsiaTheme="minorEastAsia"/>
        </w:rPr>
      </w:pPr>
      <w:r>
        <w:rPr>
          <w:rFonts w:eastAsiaTheme="minorEastAsia"/>
        </w:rPr>
        <w:t>Existen Corolario 1. T</w:t>
      </w:r>
      <w:r w:rsidRPr="00D5690F">
        <w:rPr>
          <w:rFonts w:eastAsiaTheme="minorEastAsia"/>
        </w:rPr>
        <w:t>odos los derivados de la función característic</w:t>
      </w:r>
      <w:r>
        <w:rPr>
          <w:rFonts w:eastAsiaTheme="minorEastAsia"/>
        </w:rPr>
        <w:t xml:space="preserve">a </w:t>
      </w:r>
      <w:r w:rsidRPr="00D5690F">
        <w:rPr>
          <w:rFonts w:eastAsiaTheme="minorEastAsia"/>
        </w:rPr>
        <w:t>en el origen, a continuación, existen todos los momentos de la distribución.</w:t>
      </w:r>
    </w:p>
    <w:p w:rsidR="004F7F79" w:rsidRDefault="00E417E4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3. Funciones Características Analíticas. A partir de ahora se asume que la función característica </w:t>
      </w:r>
      <m:oMath>
        <m:r>
          <w:rPr>
            <w:rFonts w:ascii="Cambria Math" w:eastAsiaTheme="minorEastAsia" w:hAnsi="Cambria Math"/>
          </w:rPr>
          <m:t>φ (t)</m:t>
        </m:r>
      </m:oMath>
      <w:r>
        <w:rPr>
          <w:rFonts w:eastAsiaTheme="minorEastAsia"/>
        </w:rPr>
        <w:t xml:space="preserve"> coincide con una función analítica en alguna vecindad en el  origen. Luego los supuestos d los colirios se satisfacen, todo momento existe, y la función característica tiene la expansión </w:t>
      </w:r>
    </w:p>
    <w:p w:rsidR="00A3032E" w:rsidRDefault="00A3032E" w:rsidP="004132F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                 para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&lt;ρ</m:t>
          </m:r>
        </m:oMath>
      </m:oMathPara>
    </w:p>
    <w:p w:rsidR="00A3032E" w:rsidRDefault="00A3032E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ρ&gt;0</m:t>
        </m:r>
      </m:oMath>
      <w:r>
        <w:rPr>
          <w:rFonts w:eastAsiaTheme="minorEastAsia"/>
        </w:rPr>
        <w:t xml:space="preserve"> es el radio de convergencia de las series.</w:t>
      </w:r>
    </w:p>
    <w:p w:rsidR="00A3032E" w:rsidRDefault="00C71ED1" w:rsidP="004132F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Nosotros escribimos </w:t>
      </w:r>
    </w:p>
    <w:p w:rsidR="00C71ED1" w:rsidRDefault="00C71ED1" w:rsidP="004132F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</m:d>
            </m:e>
          </m:d>
        </m:oMath>
      </m:oMathPara>
    </w:p>
    <w:p w:rsidR="004F7F79" w:rsidRDefault="00C71ED1" w:rsidP="004132FF">
      <w:pPr>
        <w:jc w:val="both"/>
        <w:rPr>
          <w:rFonts w:eastAsiaTheme="minorEastAsia"/>
        </w:rPr>
      </w:pPr>
      <w:proofErr w:type="gramStart"/>
      <w:r w:rsidRPr="00C71ED1">
        <w:rPr>
          <w:rFonts w:eastAsiaTheme="minorEastAsia"/>
        </w:rPr>
        <w:t>para</w:t>
      </w:r>
      <w:proofErr w:type="gramEnd"/>
      <w:r w:rsidRPr="00C71ED1">
        <w:rPr>
          <w:rFonts w:eastAsiaTheme="minorEastAsia"/>
        </w:rPr>
        <w:t xml:space="preserve"> la parte incluso de </w:t>
      </w:r>
      <m:oMath>
        <m:r>
          <w:rPr>
            <w:rFonts w:ascii="Cambria Math" w:eastAsiaTheme="minorEastAsia" w:hAnsi="Cambria Math"/>
          </w:rPr>
          <m:t>φ (z),</m:t>
        </m:r>
      </m:oMath>
      <w:r w:rsidRPr="00C71ED1">
        <w:rPr>
          <w:rFonts w:eastAsiaTheme="minorEastAsia"/>
        </w:rPr>
        <w:t xml:space="preserve"> y</w:t>
      </w:r>
    </w:p>
    <w:p w:rsidR="00C71ED1" w:rsidRDefault="00C71ED1" w:rsidP="00C71ED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</m:d>
            </m:e>
          </m:d>
        </m:oMath>
      </m:oMathPara>
    </w:p>
    <w:p w:rsidR="00C71ED1" w:rsidRDefault="00DA731E" w:rsidP="00C71ED1">
      <w:pPr>
        <w:jc w:val="both"/>
        <w:rPr>
          <w:rFonts w:eastAsiaTheme="minorEastAsia"/>
        </w:rPr>
      </w:pPr>
      <w:r w:rsidRPr="00C71ED1">
        <w:rPr>
          <w:rFonts w:eastAsiaTheme="minorEastAsia"/>
        </w:rPr>
        <w:t>Para</w:t>
      </w:r>
      <w:r w:rsidR="00C71ED1" w:rsidRPr="00C71ED1">
        <w:rPr>
          <w:rFonts w:eastAsiaTheme="minorEastAsia"/>
        </w:rPr>
        <w:t xml:space="preserve"> la parte impar de </w:t>
      </w:r>
      <m:oMath>
        <m:r>
          <w:rPr>
            <w:rFonts w:ascii="Cambria Math" w:eastAsiaTheme="minorEastAsia" w:hAnsi="Cambria Math"/>
          </w:rPr>
          <m:t>φ {z)</m:t>
        </m:r>
      </m:oMath>
      <w:r w:rsidR="00C71ED1">
        <w:rPr>
          <w:rFonts w:eastAsiaTheme="minorEastAsia"/>
        </w:rPr>
        <w:t xml:space="preserve"> </w:t>
      </w:r>
      <w:r w:rsidR="00C71ED1" w:rsidRPr="00C71ED1">
        <w:rPr>
          <w:rFonts w:eastAsiaTheme="minorEastAsia"/>
        </w:rPr>
        <w:t>, entonces las dos series</w:t>
      </w:r>
    </w:p>
    <w:p w:rsidR="00496AD5" w:rsidRDefault="00496AD5" w:rsidP="00496AD5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2k-1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2k-1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!</m:t>
                            </m:r>
                          </m:den>
                        </m:f>
                      </m:e>
                    </m:nary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sup>
                    </m:sSup>
                  </m:e>
                </m:mr>
              </m:m>
            </m:e>
          </m:d>
        </m:oMath>
      </m:oMathPara>
    </w:p>
    <w:p w:rsidR="00EF0805" w:rsidRDefault="00EF0805" w:rsidP="00EF08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Converge también en círculos cerca del origen. Denotamos el radio de convergencia de las serie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C71ED1" w:rsidRDefault="00EF0805" w:rsidP="00EF08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nosotros anotamos la </w:t>
      </w:r>
      <m:oMath>
        <m:r>
          <w:rPr>
            <w:rFonts w:ascii="Cambria Math" w:eastAsiaTheme="minorEastAsia" w:hAnsi="Cambria Math"/>
          </w:rPr>
          <m:t>kth</m:t>
        </m:r>
      </m:oMath>
      <w:r>
        <w:rPr>
          <w:rFonts w:eastAsiaTheme="minorEastAsia"/>
        </w:rPr>
        <w:t xml:space="preserve"> momento absoluto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por </w:t>
      </w:r>
    </w:p>
    <w:p w:rsidR="00EF0805" w:rsidRDefault="001A4B3B" w:rsidP="00EF080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1A4B3B" w:rsidRDefault="001A4B3B" w:rsidP="00EF08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 se observa que </w:t>
      </w:r>
    </w:p>
    <w:p w:rsidR="001A4B3B" w:rsidRDefault="001A4B3B" w:rsidP="00EF0805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2k-2</m:t>
                  </m:r>
                </m:sup>
              </m:sSup>
            </m:e>
          </m:d>
        </m:oMath>
      </m:oMathPara>
    </w:p>
    <w:p w:rsidR="001A4B3B" w:rsidRDefault="001A4B3B" w:rsidP="00EF0805">
      <w:pPr>
        <w:jc w:val="both"/>
        <w:rPr>
          <w:rFonts w:eastAsiaTheme="minorEastAsia"/>
        </w:rPr>
      </w:pPr>
      <w:r>
        <w:rPr>
          <w:rFonts w:eastAsiaTheme="minorEastAsia"/>
        </w:rPr>
        <w:t>Nosotros observamos que</w:t>
      </w:r>
    </w:p>
    <w:p w:rsidR="001A4B3B" w:rsidRDefault="001A4B3B" w:rsidP="00EF080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2k-1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2k-2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A4B3B" w:rsidRDefault="001A4B3B" w:rsidP="00EF08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 esto demostramos que </w:t>
      </w:r>
    </w:p>
    <w:p w:rsidR="001A4B3B" w:rsidRDefault="001A4B3B" w:rsidP="00EF080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≥ρ</m:t>
          </m:r>
        </m:oMath>
      </m:oMathPara>
    </w:p>
    <w:p w:rsidR="00EF0805" w:rsidRDefault="001A4B3B" w:rsidP="00EF0805">
      <w:pPr>
        <w:jc w:val="both"/>
        <w:rPr>
          <w:rFonts w:eastAsiaTheme="minorEastAsia"/>
        </w:rPr>
      </w:pPr>
      <w:r>
        <w:rPr>
          <w:rFonts w:eastAsiaTheme="minorEastAsia"/>
        </w:rPr>
        <w:t>Nosotro</w:t>
      </w:r>
      <w:r w:rsidR="009378F5">
        <w:rPr>
          <w:rFonts w:eastAsiaTheme="minorEastAsia"/>
        </w:rPr>
        <w:t>s</w:t>
      </w:r>
      <w:r>
        <w:rPr>
          <w:rFonts w:eastAsiaTheme="minorEastAsia"/>
        </w:rPr>
        <w:t xml:space="preserve"> vemos que en la desigualdad anterior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</m:oMath>
      <w:r>
        <w:rPr>
          <w:rFonts w:eastAsiaTheme="minorEastAsia"/>
        </w:rPr>
        <w:t xml:space="preserve"> que esta serie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/k! </m:t>
        </m:r>
      </m:oMath>
      <w:r w:rsidR="009378F5">
        <w:rPr>
          <w:rFonts w:eastAsiaTheme="minorEastAsia"/>
        </w:rPr>
        <w:t xml:space="preserve">converge para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378F5">
        <w:rPr>
          <w:rFonts w:eastAsiaTheme="minorEastAsia"/>
        </w:rPr>
        <w:t xml:space="preserve">. Para lema 2 nosotros vemos, para cualquier real </w:t>
      </w:r>
      <m:oMath>
        <m:r>
          <w:rPr>
            <w:rFonts w:ascii="Cambria Math" w:eastAsiaTheme="minorEastAsia" w:hAnsi="Cambria Math"/>
          </w:rPr>
          <m:t>ξ,</m:t>
        </m:r>
      </m:oMath>
      <w:r w:rsidR="009378F5">
        <w:rPr>
          <w:rFonts w:eastAsiaTheme="minorEastAsia"/>
        </w:rPr>
        <w:t xml:space="preserve"> que </w:t>
      </w:r>
    </w:p>
    <w:p w:rsidR="009378F5" w:rsidRDefault="009378F5" w:rsidP="00EF0805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(2k)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2k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163C94" w:rsidRDefault="009378F5" w:rsidP="009378F5">
      <w:pPr>
        <w:jc w:val="both"/>
        <w:rPr>
          <w:rFonts w:eastAsiaTheme="minorEastAsia"/>
        </w:rPr>
      </w:pPr>
      <w:r w:rsidRPr="009378F5">
        <w:rPr>
          <w:rFonts w:eastAsiaTheme="minorEastAsia"/>
        </w:rPr>
        <w:t xml:space="preserve">Por tanto, si denotamos el radio de convergencia </w:t>
      </w:r>
      <w:r>
        <w:rPr>
          <w:rFonts w:eastAsiaTheme="minorEastAsia"/>
        </w:rPr>
        <w:t xml:space="preserve">de la serie de Taylor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(z)</m:t>
        </m:r>
      </m:oMath>
      <w:r>
        <w:rPr>
          <w:rFonts w:eastAsiaTheme="minorEastAsia"/>
        </w:rPr>
        <w:t xml:space="preserve"> </w:t>
      </w:r>
      <w:r w:rsidRPr="009378F5">
        <w:rPr>
          <w:rFonts w:eastAsiaTheme="minorEastAsia"/>
        </w:rPr>
        <w:t xml:space="preserve">alrededor </w:t>
      </w:r>
      <m:oMath>
        <m:r>
          <w:rPr>
            <w:rFonts w:ascii="Cambria Math" w:eastAsiaTheme="minorEastAsia" w:hAnsi="Cambria Math"/>
          </w:rPr>
          <m:t>ξ</m:t>
        </m:r>
      </m:oMath>
      <w:r w:rsidRPr="009378F5">
        <w:rPr>
          <w:rFonts w:eastAsiaTheme="minorEastAsia"/>
        </w:rPr>
        <w:t xml:space="preserve">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a continuación.</w:t>
      </w:r>
    </w:p>
    <w:p w:rsidR="004132FF" w:rsidRPr="00CC4A95" w:rsidRDefault="00DD7D5B" w:rsidP="006B5A5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sectPr w:rsidR="004132FF" w:rsidRPr="00CC4A95" w:rsidSect="00BA7BC1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7BC1"/>
    <w:rsid w:val="000B59AA"/>
    <w:rsid w:val="00163C94"/>
    <w:rsid w:val="00186DA4"/>
    <w:rsid w:val="001A4B3B"/>
    <w:rsid w:val="00224826"/>
    <w:rsid w:val="003913EE"/>
    <w:rsid w:val="00394CCC"/>
    <w:rsid w:val="004132FF"/>
    <w:rsid w:val="00496AD5"/>
    <w:rsid w:val="004E66FA"/>
    <w:rsid w:val="004F7F79"/>
    <w:rsid w:val="00536737"/>
    <w:rsid w:val="006016A9"/>
    <w:rsid w:val="006B5A57"/>
    <w:rsid w:val="006C474A"/>
    <w:rsid w:val="008B534A"/>
    <w:rsid w:val="008C10DF"/>
    <w:rsid w:val="009378F5"/>
    <w:rsid w:val="00A3032E"/>
    <w:rsid w:val="00A4232B"/>
    <w:rsid w:val="00BA7BC1"/>
    <w:rsid w:val="00C71ED1"/>
    <w:rsid w:val="00CC4A95"/>
    <w:rsid w:val="00D5690F"/>
    <w:rsid w:val="00DA731E"/>
    <w:rsid w:val="00DD7D5B"/>
    <w:rsid w:val="00E417E4"/>
    <w:rsid w:val="00E51963"/>
    <w:rsid w:val="00E84880"/>
    <w:rsid w:val="00EA4971"/>
    <w:rsid w:val="00EF0805"/>
    <w:rsid w:val="00F93FDE"/>
    <w:rsid w:val="00F9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B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A4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A49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B3793B28F6415D8D0E6CFCB2B4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983E4-AD0E-4FBD-967D-FA9ACA0F7BCD}"/>
      </w:docPartPr>
      <w:docPartBody>
        <w:p w:rsidR="00901350" w:rsidRDefault="00901350" w:rsidP="00901350">
          <w:pPr>
            <w:pStyle w:val="B6B3793B28F6415D8D0E6CFCB2B4175D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B6C7B7540650483DBC70EC6D52E1B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4114-1A06-4AB9-99D2-8F2942D71FBD}"/>
      </w:docPartPr>
      <w:docPartBody>
        <w:p w:rsidR="00901350" w:rsidRDefault="00901350" w:rsidP="00901350">
          <w:pPr>
            <w:pStyle w:val="B6C7B7540650483DBC70EC6D52E1BE04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91A0366CDF214D9488DCFA3041BC4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54F87-A93B-4F1A-B060-C1CDF99D0279}"/>
      </w:docPartPr>
      <w:docPartBody>
        <w:p w:rsidR="00901350" w:rsidRDefault="00901350" w:rsidP="00901350">
          <w:pPr>
            <w:pStyle w:val="91A0366CDF214D9488DCFA3041BC4D7D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EDBFEB6B511B42E186DFD00A28B9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A1F8-C281-473D-A095-CB72CF1D693C}"/>
      </w:docPartPr>
      <w:docPartBody>
        <w:p w:rsidR="00901350" w:rsidRDefault="00901350" w:rsidP="00901350">
          <w:pPr>
            <w:pStyle w:val="EDBFEB6B511B42E186DFD00A28B9786D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  <w:docPart>
      <w:docPartPr>
        <w:name w:val="4ACC52E62EB048D28FF49630DBEF2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838A-BD59-4EED-99F3-98CC836DDB82}"/>
      </w:docPartPr>
      <w:docPartBody>
        <w:p w:rsidR="00901350" w:rsidRDefault="00901350" w:rsidP="00901350">
          <w:pPr>
            <w:pStyle w:val="4ACC52E62EB048D28FF49630DBEF2080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1350"/>
    <w:rsid w:val="0090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B3793B28F6415D8D0E6CFCB2B4175D">
    <w:name w:val="B6B3793B28F6415D8D0E6CFCB2B4175D"/>
    <w:rsid w:val="00901350"/>
  </w:style>
  <w:style w:type="paragraph" w:customStyle="1" w:styleId="B6C7B7540650483DBC70EC6D52E1BE04">
    <w:name w:val="B6C7B7540650483DBC70EC6D52E1BE04"/>
    <w:rsid w:val="00901350"/>
  </w:style>
  <w:style w:type="paragraph" w:customStyle="1" w:styleId="91A0366CDF214D9488DCFA3041BC4D7D">
    <w:name w:val="91A0366CDF214D9488DCFA3041BC4D7D"/>
    <w:rsid w:val="00901350"/>
  </w:style>
  <w:style w:type="paragraph" w:customStyle="1" w:styleId="EDBFEB6B511B42E186DFD00A28B9786D">
    <w:name w:val="EDBFEB6B511B42E186DFD00A28B9786D"/>
    <w:rsid w:val="00901350"/>
  </w:style>
  <w:style w:type="paragraph" w:customStyle="1" w:styleId="4ACC52E62EB048D28FF49630DBEF2080">
    <w:name w:val="4ACC52E62EB048D28FF49630DBEF2080"/>
    <w:rsid w:val="00901350"/>
  </w:style>
  <w:style w:type="character" w:styleId="Textodelmarcadordeposicin">
    <w:name w:val="Placeholder Text"/>
    <w:basedOn w:val="Fuentedeprrafopredeter"/>
    <w:uiPriority w:val="99"/>
    <w:semiHidden/>
    <w:rsid w:val="0090135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Características</vt:lpstr>
    </vt:vector>
  </TitlesOfParts>
  <Company>UNADM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Características</dc:title>
  <dc:creator>ExpeUEW7</dc:creator>
  <cp:lastModifiedBy>ExpeUEW7</cp:lastModifiedBy>
  <cp:revision>8</cp:revision>
  <dcterms:created xsi:type="dcterms:W3CDTF">2015-05-25T01:30:00Z</dcterms:created>
  <dcterms:modified xsi:type="dcterms:W3CDTF">2015-05-26T03:33:00Z</dcterms:modified>
</cp:coreProperties>
</file>