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jc w:val="center"/>
      </w:pPr>
      <w:r>
        <w:rPr>
          <w:rFonts w:ascii="Calibri" w:cs="Calibri" w:eastAsia="Calibri" w:hAnsi="Calibri"/>
          <w:b/>
          <w:bCs/>
          <w:color w:val="1F3B57"/>
          <w:sz w:val="62"/>
          <w:szCs w:val="62"/>
        </w:rPr>
        <w:t xml:space="preserve">ASCENDANCE</w:t>
      </w:r>
    </w:p>
    <w:p>
      <w:pPr>
        <w:spacing w:after="200"/>
        <w:jc w:val="center"/>
      </w:pPr>
      <w:r>
        <w:rPr>
          <w:rFonts w:ascii="Calibri" w:cs="Calibri" w:eastAsia="Calibri" w:hAnsi="Calibri"/>
          <w:i/>
          <w:iCs/>
          <w:color w:val="4A6B8A"/>
          <w:sz w:val="34"/>
          <w:szCs w:val="34"/>
        </w:rPr>
        <w:t xml:space="preserve">Building Systems Bible</w:t>
      </w:r>
    </w:p>
    <w:p>
      <w:pPr>
        <w:spacing w:after="100"/>
        <w:jc w:val="center"/>
      </w:pPr>
      <w:r>
        <w:rPr>
          <w:rFonts w:ascii="Calibri" w:cs="Calibri" w:eastAsia="Calibri" w:hAnsi="Calibri"/>
          <w:sz w:val="24"/>
          <w:szCs w:val="24"/>
        </w:rPr>
        <w:t xml:space="preserve">Mechanics · Purpose · Value · Art Direction</w:t>
      </w:r>
    </w:p>
    <w:p>
      <w:pPr>
        <w:jc w:val="center"/>
      </w:pPr>
      <w:r>
        <w:rPr>
          <w:rFonts w:ascii="Calibri" w:cs="Calibri" w:eastAsia="Calibri" w:hAnsi="Calibri"/>
          <w:sz w:val="22"/>
          <w:szCs w:val="22"/>
        </w:rPr>
        <w:t xml:space="preserve">Companion to GDD v3.0 — September 2026</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What This Document Does</w:t>
      </w:r>
    </w:p>
    <w:p>
      <w:pPr>
        <w:spacing w:after="120"/>
      </w:pPr>
      <w:r>
        <w:rPr>
          <w:rFonts w:ascii="Calibri" w:cs="Calibri" w:eastAsia="Calibri" w:hAnsi="Calibri"/>
          <w:b w:val="false"/>
          <w:bCs w:val="false"/>
          <w:i w:val="false"/>
          <w:iCs w:val="false"/>
          <w:sz w:val="22"/>
          <w:szCs w:val="22"/>
        </w:rPr>
        <w:t xml:space="preserve">The GDD established what buildings exist. This document establishes how they work, what they are for, what value each adds, and how they are to be drawn. It ships alongside six new workbook sheets: Building_Framework, Category_Chassis, Visual_Tiers, Visual_Overlays, Specs_EraI, and ArtBrief_Exemplars.</w:t>
      </w:r>
    </w:p>
    <w:p>
      <w:pPr>
        <w:spacing w:after="120"/>
      </w:pPr>
      <w:r>
        <w:rPr>
          <w:rFonts w:ascii="Calibri" w:cs="Calibri" w:eastAsia="Calibri" w:hAnsi="Calibri"/>
          <w:b w:val="false"/>
          <w:bCs w:val="false"/>
          <w:i w:val="false"/>
          <w:iCs w:val="false"/>
          <w:sz w:val="22"/>
          <w:szCs w:val="22"/>
        </w:rPr>
        <w:t xml:space="preserve">A note on scope, stated plainly. All 69 Era I buildings are fully specified here — purpose, value added, distinctive mechanic, synergies, and an art brief. Eras II through VII follow the identical template and are the next production task; they are not in this pass. What is complete for all 483 buildings is the framework and the category chassis, which define most of any given building's behaviour before its individual line is written.</w:t>
      </w:r>
    </w:p>
    <w:p>
      <w:pPr>
        <w:pStyle w:val="Heading1"/>
        <w:spacing w:after="160" w:before="320"/>
      </w:pPr>
      <w:r>
        <w:rPr>
          <w:rFonts w:ascii="Calibri" w:cs="Calibri" w:eastAsia="Calibri" w:hAnsi="Calibri"/>
        </w:rPr>
        <w:t xml:space="preserve">2. The Universal Building Framework</w:t>
      </w:r>
    </w:p>
    <w:p>
      <w:pPr>
        <w:spacing w:after="120"/>
      </w:pPr>
      <w:r>
        <w:rPr>
          <w:rFonts w:ascii="Calibri" w:cs="Calibri" w:eastAsia="Calibri" w:hAnsi="Calibri"/>
          <w:b w:val="false"/>
          <w:bCs w:val="false"/>
          <w:i w:val="false"/>
          <w:iCs w:val="false"/>
          <w:sz w:val="22"/>
          <w:szCs w:val="22"/>
        </w:rPr>
        <w:t xml:space="preserve">Twelve systems govern every building in the game. They are what make a settlement a puzzle rather than a menu.</w:t>
      </w:r>
    </w:p>
    <w:p>
      <w:pPr>
        <w:pStyle w:val="Heading2"/>
        <w:spacing w:after="120" w:before="240"/>
      </w:pPr>
      <w:r>
        <w:rPr>
          <w:rFonts w:ascii="Calibri" w:cs="Calibri" w:eastAsia="Calibri" w:hAnsi="Calibri"/>
        </w:rPr>
        <w:t xml:space="preserve">2.1 Plots and Size Class</w:t>
      </w:r>
    </w:p>
    <w:p>
      <w:pPr>
        <w:spacing w:after="120"/>
      </w:pPr>
      <w:r>
        <w:rPr>
          <w:rFonts w:ascii="Calibri" w:cs="Calibri" w:eastAsia="Calibri" w:hAnsi="Calibri"/>
          <w:b w:val="false"/>
          <w:bCs w:val="false"/>
          <w:i w:val="false"/>
          <w:iCs w:val="false"/>
          <w:sz w:val="22"/>
          <w:szCs w:val="22"/>
        </w:rPr>
        <w:t xml:space="preserve">Settlements have a finite plot count — 24 at founding, growing by two per HQ grade to roughly 110 at maximum. Buildings occupy one to four plots by size class: Minor, Standard, Major, Monumental. Since an era contains 69 buildings and prior-era buildings persist, no settlement can ever hold everything. This scarcity is the single largest driver of empire-wide planning: a settlement becomes a statement of intent, and an empire becomes a portfolio of specialists.</w:t>
      </w:r>
    </w:p>
    <w:p>
      <w:pPr>
        <w:pStyle w:val="Heading2"/>
        <w:spacing w:after="120" w:before="240"/>
      </w:pPr>
      <w:r>
        <w:rPr>
          <w:rFonts w:ascii="Calibri" w:cs="Calibri" w:eastAsia="Calibri" w:hAnsi="Calibri"/>
        </w:rPr>
        <w:t xml:space="preserve">2.2 Level Gating</w:t>
      </w:r>
    </w:p>
    <w:p>
      <w:pPr>
        <w:spacing w:after="120"/>
      </w:pPr>
      <w:r>
        <w:rPr>
          <w:rFonts w:ascii="Calibri" w:cs="Calibri" w:eastAsia="Calibri" w:hAnsi="Calibri"/>
          <w:b w:val="false"/>
          <w:bCs w:val="false"/>
          <w:i w:val="false"/>
          <w:iCs w:val="false"/>
          <w:sz w:val="22"/>
          <w:szCs w:val="22"/>
        </w:rPr>
        <w:t xml:space="preserve">No building may exceed its settlement's HQ level, making HQ the universal bottleneck and the highest-value siege target in any settlement. Grade breakthroughs additionally require the matching research discipline grade, tying the building ladder to the research ladder to the cultivation ladder.</w:t>
      </w:r>
    </w:p>
    <w:p>
      <w:pPr>
        <w:pStyle w:val="Heading2"/>
        <w:spacing w:after="120" w:before="240"/>
      </w:pPr>
      <w:r>
        <w:rPr>
          <w:rFonts w:ascii="Calibri" w:cs="Calibri" w:eastAsia="Calibri" w:hAnsi="Calibri"/>
        </w:rPr>
        <w:t xml:space="preserve">2.3 Staffing and Population</w:t>
      </w:r>
    </w:p>
    <w:p>
      <w:pPr>
        <w:spacing w:after="120"/>
      </w:pPr>
      <w:r>
        <w:rPr>
          <w:rFonts w:ascii="Calibri" w:cs="Calibri" w:eastAsia="Calibri" w:hAnsi="Calibri"/>
          <w:b w:val="false"/>
          <w:bCs w:val="false"/>
          <w:i w:val="false"/>
          <w:iCs w:val="false"/>
          <w:sz w:val="22"/>
          <w:szCs w:val="22"/>
        </w:rPr>
        <w:t xml:space="preserve">Buildings draw Workers from settlement Population, and output scales linearly with staffing. A Mine at 50% staffing produces half. Higher levels demand more workers, so raising one building without growing population quietly starves the others. This is what gives Population genuine strategic weight and gives sieges, plagues, and conquest real economic consequences rather than cosmetic ones.</w:t>
      </w:r>
    </w:p>
    <w:p>
      <w:pPr>
        <w:pStyle w:val="Heading2"/>
        <w:spacing w:after="120" w:before="240"/>
      </w:pPr>
      <w:r>
        <w:rPr>
          <w:rFonts w:ascii="Calibri" w:cs="Calibri" w:eastAsia="Calibri" w:hAnsi="Calibri"/>
        </w:rPr>
        <w:t xml:space="preserve">2.4 Upkeep, Decay and the Grid</w:t>
      </w:r>
    </w:p>
    <w:p>
      <w:pPr>
        <w:spacing w:after="120"/>
      </w:pPr>
      <w:r>
        <w:rPr>
          <w:rFonts w:ascii="Calibri" w:cs="Calibri" w:eastAsia="Calibri" w:hAnsi="Calibri"/>
          <w:b w:val="false"/>
          <w:bCs w:val="false"/>
          <w:i w:val="false"/>
          <w:iCs w:val="false"/>
          <w:sz w:val="22"/>
          <w:szCs w:val="22"/>
        </w:rPr>
        <w:t xml:space="preserve">From Era II, buildings cost Coin upkeep; from Era IV they additionally draw Electricity. Insolvency triggers Brownout — output halves, and after 72 hours the building sheds a level per day until solvent. The Era IV power grid becomes a devastating sabotage vector precisely because so much depends on it.</w:t>
      </w:r>
    </w:p>
    <w:p>
      <w:pPr>
        <w:pStyle w:val="Heading2"/>
        <w:spacing w:after="120" w:before="240"/>
      </w:pPr>
      <w:r>
        <w:rPr>
          <w:rFonts w:ascii="Calibri" w:cs="Calibri" w:eastAsia="Calibri" w:hAnsi="Calibri"/>
        </w:rPr>
        <w:t xml:space="preserve">2.5 Adjacency and Terrain</w:t>
      </w:r>
    </w:p>
    <w:p>
      <w:pPr>
        <w:spacing w:after="120"/>
      </w:pPr>
      <w:r>
        <w:rPr>
          <w:rFonts w:ascii="Calibri" w:cs="Calibri" w:eastAsia="Calibri" w:hAnsi="Calibri"/>
          <w:b w:val="false"/>
          <w:bCs w:val="false"/>
          <w:i w:val="false"/>
          <w:iCs w:val="false"/>
          <w:sz w:val="22"/>
          <w:szCs w:val="22"/>
        </w:rPr>
        <w:t xml:space="preserve">Buildings gain and lose output from their neighbours and their tile. A Sawmill beside a Lumber Camp gains 15%; a Tannery beside housing costs 10% happiness; a Powder Magazine takes its neighbours with it when it goes. Yield tiles multiply extraction between 1.5× and 2.5×. The result is that settlement construction is a spatial problem, and good ground stays worth fighting over permanently.</w:t>
      </w:r>
    </w:p>
    <w:p>
      <w:pPr>
        <w:pStyle w:val="Heading2"/>
        <w:spacing w:after="120" w:before="240"/>
      </w:pPr>
      <w:r>
        <w:rPr>
          <w:rFonts w:ascii="Calibri" w:cs="Calibri" w:eastAsia="Calibri" w:hAnsi="Calibri"/>
        </w:rPr>
        <w:t xml:space="preserve">2.6 Damage, Repair, Razing and Capture</w:t>
      </w:r>
    </w:p>
    <w:p>
      <w:pPr>
        <w:pStyle w:val="ListParagraph"/>
        <w:numPr>
          <w:ilvl w:val="0"/>
          <w:numId w:val="2"/>
        </w:numPr>
        <w:spacing w:after="60"/>
      </w:pPr>
      <w:r>
        <w:rPr>
          <w:rFonts w:ascii="Calibri" w:cs="Calibri" w:eastAsia="Calibri" w:hAnsi="Calibri"/>
          <w:sz w:val="22"/>
          <w:szCs w:val="22"/>
        </w:rPr>
        <w:t xml:space="preserve">Siege reduces buildings by damage levels rather than deleting them; repair costs 30% of the original and takes 20% of the time.</w:t>
      </w:r>
    </w:p>
    <w:p>
      <w:pPr>
        <w:pStyle w:val="ListParagraph"/>
        <w:numPr>
          <w:ilvl w:val="0"/>
          <w:numId w:val="2"/>
        </w:numPr>
        <w:spacing w:after="60"/>
      </w:pPr>
      <w:r>
        <w:rPr>
          <w:rFonts w:ascii="Calibri" w:cs="Calibri" w:eastAsia="Calibri" w:hAnsi="Calibri"/>
          <w:sz w:val="22"/>
          <w:szCs w:val="22"/>
        </w:rPr>
        <w:t xml:space="preserve">Razing is possible, slow, wasteful, and reputation-costly. In a permanent world a burnable-and-rebuildable city is a better story than a deleted one.</w:t>
      </w:r>
    </w:p>
    <w:p>
      <w:pPr>
        <w:pStyle w:val="ListParagraph"/>
        <w:numPr>
          <w:ilvl w:val="0"/>
          <w:numId w:val="2"/>
        </w:numPr>
        <w:spacing w:after="60"/>
      </w:pPr>
      <w:r>
        <w:rPr>
          <w:rFonts w:ascii="Calibri" w:cs="Calibri" w:eastAsia="Calibri" w:hAnsi="Calibri"/>
          <w:sz w:val="22"/>
          <w:szCs w:val="22"/>
        </w:rPr>
        <w:t xml:space="preserve">Captured settlements keep their buildings at three grades below their previous level. Cultivation and Special buildings are the exception and reset fully — they are bound to their builder's dao, so conquest never hands over a free endgame.</w:t>
      </w:r>
    </w:p>
    <w:p>
      <w:pPr>
        <w:pStyle w:val="Heading2"/>
        <w:spacing w:after="120" w:before="240"/>
      </w:pPr>
      <w:r>
        <w:rPr>
          <w:rFonts w:ascii="Calibri" w:cs="Calibri" w:eastAsia="Calibri" w:hAnsi="Calibri"/>
        </w:rPr>
        <w:t xml:space="preserve">2.7 Heritage — No Obsolescence</w:t>
      </w:r>
    </w:p>
    <w:p>
      <w:pPr>
        <w:spacing w:after="120"/>
      </w:pPr>
      <w:r>
        <w:rPr>
          <w:rFonts w:ascii="Calibri" w:cs="Calibri" w:eastAsia="Calibri" w:hAnsi="Calibri"/>
          <w:b w:val="false"/>
          <w:bCs w:val="false"/>
          <w:i w:val="false"/>
          <w:iCs w:val="false"/>
          <w:sz w:val="22"/>
          <w:szCs w:val="22"/>
        </w:rPr>
        <w:t xml:space="preserve">Buildings from earlier eras never stop working. When a settlement advances an era, its older buildings gain Heritage status: full output retained, plus Culture equal to 2% of their level. This enforces the game's first pillar at the building level and makes an ancient, deeply-levelled village genuinely valuable inside a galactic empire rather than a sentimental relic.</w:t>
      </w:r>
    </w:p>
    <w:p>
      <w:pPr>
        <w:pStyle w:val="Heading2"/>
        <w:spacing w:after="120" w:before="240"/>
      </w:pPr>
      <w:r>
        <w:rPr>
          <w:rFonts w:ascii="Calibri" w:cs="Calibri" w:eastAsia="Calibri" w:hAnsi="Calibri"/>
        </w:rPr>
        <w:t xml:space="preserve">2.8 Specialization Caps</w:t>
      </w:r>
    </w:p>
    <w:p>
      <w:pPr>
        <w:spacing w:after="120"/>
      </w:pPr>
      <w:r>
        <w:rPr>
          <w:rFonts w:ascii="Calibri" w:cs="Calibri" w:eastAsia="Calibri" w:hAnsi="Calibri"/>
          <w:b w:val="false"/>
          <w:bCs w:val="false"/>
          <w:i w:val="false"/>
          <w:iCs w:val="false"/>
          <w:sz w:val="22"/>
          <w:szCs w:val="22"/>
        </w:rPr>
        <w:t xml:space="preserve">A settlement may hold at most three buildings above grade 30 and eight above grade 20. Exceeding these is impossible, not merely penalised. This hard-stops the single perfect megacity pattern: empires must distribute their crown jewels, distributing their vulnerabilities, creating targets, and therefore creating wars.</w:t>
      </w:r>
    </w:p>
    <w:p>
      <w:pPr>
        <w:pStyle w:val="Heading2"/>
        <w:spacing w:after="120" w:before="240"/>
      </w:pPr>
      <w:r>
        <w:rPr>
          <w:rFonts w:ascii="Calibri" w:cs="Calibri" w:eastAsia="Calibri" w:hAnsi="Calibri"/>
        </w:rPr>
        <w:t xml:space="preserve">2.9 Visibility</w:t>
      </w:r>
    </w:p>
    <w:p>
      <w:pPr>
        <w:spacing w:after="120"/>
      </w:pPr>
      <w:r>
        <w:rPr>
          <w:rFonts w:ascii="Calibri" w:cs="Calibri" w:eastAsia="Calibri" w:hAnsi="Calibri"/>
          <w:b w:val="false"/>
          <w:bCs w:val="false"/>
          <w:i w:val="false"/>
          <w:iCs w:val="false"/>
          <w:sz w:val="22"/>
          <w:szCs w:val="22"/>
        </w:rPr>
        <w:t xml:space="preserve">Building levels are hidden until scouted, with one exception: Monumental buildings and anything above grade 25 are visible at range. A level-800 citadel is a landmark, not a secret, and shapes the strategy of everyone who can see it.</w:t>
      </w:r>
    </w:p>
    <w:p>
      <w:r>
        <w:br w:type="page"/>
      </w:r>
    </w:p>
    <w:p>
      <w:pPr>
        <w:pStyle w:val="Heading1"/>
        <w:spacing w:after="160" w:before="320"/>
      </w:pPr>
      <w:r>
        <w:rPr>
          <w:rFonts w:ascii="Calibri" w:cs="Calibri" w:eastAsia="Calibri" w:hAnsi="Calibri"/>
        </w:rPr>
        <w:t xml:space="preserve">3. The Eleven Category Chassis</w:t>
      </w:r>
    </w:p>
    <w:p>
      <w:pPr>
        <w:spacing w:after="120"/>
      </w:pPr>
      <w:r>
        <w:rPr>
          <w:rFonts w:ascii="Calibri" w:cs="Calibri" w:eastAsia="Calibri" w:hAnsi="Calibri"/>
          <w:b w:val="false"/>
          <w:bCs w:val="false"/>
          <w:i w:val="false"/>
          <w:iCs w:val="false"/>
          <w:sz w:val="22"/>
          <w:szCs w:val="22"/>
        </w:rPr>
        <w:t xml:space="preserve">Rather than eleven hundred bespoke rule sets, buildings inherit a mechanical chassis from their category and then add one distinctive twist. This is what makes 483 buildings learnable: a player who understands how Extraction works understands eighty buildings immediately, and only needs to learn what each does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100"/>
        <w:gridCol w:w="2760"/>
      </w:tblGrid>
      <w:tr>
        <w:trPr>
          <w:tblHeader/>
        </w:trPr>
        <w:tc>
          <w:tcPr>
            <w:tcW w:type="dxa" w:w="15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Category</w:t>
            </w:r>
          </w:p>
        </w:tc>
        <w:tc>
          <w:tcPr>
            <w:tcW w:type="dxa" w:w="51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Core behaviour</w:t>
            </w:r>
          </w:p>
        </w:tc>
        <w:tc>
          <w:tcPr>
            <w:tcW w:type="dxa" w:w="27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Primary vulnerability</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HQ/Governance</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Gates every other building; grants plots, queue slots, radius, policy slots</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Loss cascades to every building in the settlement</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Extraction</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base × level curve × tile richness × staffing, into a plunderable local stockpile</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Raiding the stockpile; worker losses; tile capture</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Processing</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Converts inputs to outputs, capped by throughput; idle without inputs at any level</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Supply-line interdiction — starve the inputs</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Military</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Unit queue slots, archetype and grade gates, bounded training-time reduction</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Raided mid-production; partial units destroyed</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Defense</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Defence multiplier plus flat garrison HP; projects zone of control</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Siege engines, sappers, bombardment</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Knowledge</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Research rate, intel radius, agent operations, Great People recruitment</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Sabotage, counter-intel raids, tech theft</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Trade</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Coin per hour, route slots, market depth, tolls on your zone of control</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Blockade; piracy against the routes it spawns</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Culture</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Happiness, Culture output, border pressure, festivals, ideology projection</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Slow to rebuild; a favourite spite target</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Logistics</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Storage caps, supply range, movement speed, hauling volume</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Chokepoint capture; convoy raiding</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Special</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Unique gated effects: ascensions, colonies, terraforming, megastructures</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Publicly announced when begun; sabotage magnet</w:t>
            </w:r>
          </w:p>
        </w:tc>
      </w:tr>
      <w:tr>
        <w:trPr>
          <w:tblHeader w:val="false"/>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Cultivation</w:t>
            </w:r>
          </w:p>
        </w:tc>
        <w:tc>
          <w:tcPr>
            <w:tcW w:type="dxa" w:w="5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Qi generation, breakthroughs, techniques, pills, spirit beasts</w:t>
            </w:r>
          </w:p>
        </w:tc>
        <w:tc>
          <w:tcPr>
            <w:tcW w:type="dxa" w:w="27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Cannot be usefully captured; tribulation-crashing raids</w:t>
            </w:r>
          </w:p>
        </w:tc>
      </w:tr>
    </w:tbl>
    <w:p>
      <w:pPr>
        <w:spacing w:after="120"/>
      </w:pPr>
      <w:r>
        <w:rPr>
          <w:rFonts w:ascii="Calibri" w:cs="Calibri" w:eastAsia="Calibri" w:hAnsi="Calibri"/>
          <w:b w:val="false"/>
          <w:bCs w:val="false"/>
          <w:i w:val="false"/>
          <w:iCs w:val="false"/>
          <w:sz w:val="22"/>
          <w:szCs w:val="22"/>
        </w:rPr>
        <w:t xml:space="preserve">Full formulas, level-scaling behaviour, and per-category detail are in the workbook sheet Category_Chassis.</w:t>
      </w:r>
    </w:p>
    <w:p>
      <w:r>
        <w:br w:type="page"/>
      </w:r>
    </w:p>
    <w:p>
      <w:pPr>
        <w:pStyle w:val="Heading1"/>
        <w:spacing w:after="160" w:before="320"/>
      </w:pPr>
      <w:r>
        <w:rPr>
          <w:rFonts w:ascii="Calibri" w:cs="Calibri" w:eastAsia="Calibri" w:hAnsi="Calibri"/>
        </w:rPr>
        <w:t xml:space="preserve">4. How Each Building Is Specified</w:t>
      </w:r>
    </w:p>
    <w:p>
      <w:pPr>
        <w:spacing w:after="120"/>
      </w:pPr>
      <w:r>
        <w:rPr>
          <w:rFonts w:ascii="Calibri" w:cs="Calibri" w:eastAsia="Calibri" w:hAnsi="Calibri"/>
          <w:b w:val="false"/>
          <w:bCs w:val="false"/>
          <w:i w:val="false"/>
          <w:iCs w:val="false"/>
          <w:sz w:val="22"/>
          <w:szCs w:val="22"/>
        </w:rPr>
        <w:t xml:space="preserve">Every building carries five design fields plus an art brief. Using the Chieftain's Hall as the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Field</w:t>
            </w:r>
          </w:p>
        </w:tc>
        <w:tc>
          <w:tcPr>
            <w:tcW w:type="dxa" w:w="73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Chieftain's Hall</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Purpose</w:t>
            </w:r>
          </w:p>
        </w:tc>
        <w:tc>
          <w:tcPr>
            <w:tcW w:type="dxa" w:w="7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Seat of the settlement; the level cap for everything else.</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Value added</w:t>
            </w:r>
          </w:p>
        </w:tc>
        <w:tc>
          <w:tcPr>
            <w:tcW w:type="dxa" w:w="7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Unlocks plots, queue slots, and command radius — the most consequential upgrade in Era I.</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Distinctive mechanic</w:t>
            </w:r>
          </w:p>
        </w:tc>
        <w:tc>
          <w:tcPr>
            <w:tcW w:type="dxa" w:w="7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Hard-caps every other building's level. If reduced by siege, every building above the new cap is suppressed until repaired.</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Key synergies</w:t>
            </w:r>
          </w:p>
        </w:tc>
        <w:tc>
          <w:tcPr>
            <w:tcW w:type="dxa" w:w="7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Gates all buildings; Rally Point extends its command radius.</w:t>
            </w:r>
          </w:p>
        </w:tc>
      </w:tr>
      <w:tr>
        <w:trPr>
          <w:tblHeader w:val="false"/>
        </w:trPr>
        <w:tc>
          <w:tcPr>
            <w:tcW w:type="dxa" w:w="20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Visual DNA</w:t>
            </w:r>
          </w:p>
        </w:tc>
        <w:tc>
          <w:tcPr>
            <w:tcW w:type="dxa" w:w="73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Longhouse on a raised mound. Carved ancestor posts flanking the door, smoke hole, a single banner. Signature: the antler-crowned ridge beam.</w:t>
            </w:r>
          </w:p>
        </w:tc>
      </w:tr>
    </w:tbl>
    <w:p>
      <w:pPr>
        <w:spacing w:after="120"/>
      </w:pPr>
      <w:r>
        <w:rPr>
          <w:rFonts w:ascii="Calibri" w:cs="Calibri" w:eastAsia="Calibri" w:hAnsi="Calibri"/>
          <w:b w:val="false"/>
          <w:bCs w:val="false"/>
          <w:i w:val="false"/>
          <w:iCs w:val="false"/>
          <w:sz w:val="22"/>
          <w:szCs w:val="22"/>
        </w:rPr>
        <w:t xml:space="preserve">The distinctive mechanic field is the one that carries design weight. A building whose only property is "produces resource X faster at higher levels" has no distinctive mechanic and should be cut or merged. Reading down the Era I sheet, every building has an answer to "why would I ever build this instead of the obvious alternative" — the Trap Line needs no workers, the Chicken Coop survives sieges, the Hidden Cellar protects a slice of everything from plunder, the Bridge helps your enemies as much as you.</w:t>
      </w:r>
    </w:p>
    <w:p>
      <w:pPr>
        <w:spacing w:after="120"/>
      </w:pPr>
      <w:r>
        <w:rPr>
          <w:rFonts w:ascii="Calibri" w:cs="Calibri" w:eastAsia="Calibri" w:hAnsi="Calibri"/>
          <w:b w:val="false"/>
          <w:bCs w:val="false"/>
          <w:i w:val="false"/>
          <w:iCs w:val="false"/>
          <w:sz w:val="22"/>
          <w:szCs w:val="22"/>
        </w:rPr>
        <w:t xml:space="preserve">All 69 Era I entries are in the workbook sheet Specs_EraI.</w:t>
      </w:r>
    </w:p>
    <w:p>
      <w:r>
        <w:br w:type="page"/>
      </w:r>
    </w:p>
    <w:p>
      <w:pPr>
        <w:pStyle w:val="Heading1"/>
        <w:spacing w:after="160" w:before="320"/>
      </w:pPr>
      <w:r>
        <w:rPr>
          <w:rFonts w:ascii="Calibri" w:cs="Calibri" w:eastAsia="Calibri" w:hAnsi="Calibri"/>
        </w:rPr>
        <w:t xml:space="preserve">5. Art Direction — The Visual Tier System</w:t>
      </w:r>
    </w:p>
    <w:p>
      <w:pPr>
        <w:pStyle w:val="Heading2"/>
        <w:spacing w:after="120" w:before="240"/>
      </w:pPr>
      <w:r>
        <w:rPr>
          <w:rFonts w:ascii="Calibri" w:cs="Calibri" w:eastAsia="Calibri" w:hAnsi="Calibri"/>
        </w:rPr>
        <w:t xml:space="preserve">5.1 Why Not One Image Per Level</w:t>
      </w:r>
    </w:p>
    <w:p>
      <w:pPr>
        <w:spacing w:after="120"/>
      </w:pPr>
      <w:r>
        <w:rPr>
          <w:rFonts w:ascii="Calibri" w:cs="Calibri" w:eastAsia="Calibri" w:hAnsi="Calibri"/>
          <w:b w:val="false"/>
          <w:bCs w:val="false"/>
          <w:i w:val="false"/>
          <w:iCs w:val="false"/>
          <w:sz w:val="22"/>
          <w:szCs w:val="22"/>
        </w:rPr>
        <w:t xml:space="preserve">483 buildings across 1,338 levels is 646,000 visual states. That cannot be authored, and it would not help if it were: a player cannot perceive the difference between level 604 and level 605, so per-level art would be 646,000 assets delivering perhaps 5,000 readable states. The industry answer is tiering, and it is what this design uses.</w:t>
      </w:r>
    </w:p>
    <w:p>
      <w:pPr>
        <w:pStyle w:val="Heading2"/>
        <w:spacing w:after="120" w:before="240"/>
      </w:pPr>
      <w:r>
        <w:rPr>
          <w:rFonts w:ascii="Calibri" w:cs="Calibri" w:eastAsia="Calibri" w:hAnsi="Calibri"/>
        </w:rPr>
        <w:t xml:space="preserve">5.2 Twelve Authored Tiers</w:t>
      </w:r>
    </w:p>
    <w:p>
      <w:pPr>
        <w:spacing w:after="120"/>
      </w:pPr>
      <w:r>
        <w:rPr>
          <w:rFonts w:ascii="Calibri" w:cs="Calibri" w:eastAsia="Calibri" w:hAnsi="Calibri"/>
          <w:b w:val="false"/>
          <w:bCs w:val="false"/>
          <w:i w:val="false"/>
          <w:iCs w:val="false"/>
          <w:sz w:val="22"/>
          <w:szCs w:val="22"/>
        </w:rPr>
        <w:t xml:space="preserve">Each building has twelve authored visual tiers mapped to level bands. The arc is consistent across every building in the game, which is what makes an unfamiliar building instantly readable: a player who has never seen a Fusion Plant still knows, from its silhouette complexity alone, roughly what level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6560"/>
      </w:tblGrid>
      <w:tr>
        <w:trPr>
          <w:tblHeader/>
        </w:trPr>
        <w:tc>
          <w:tcPr>
            <w:tcW w:type="dxa" w:w="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Tier</w:t>
            </w:r>
          </w:p>
        </w:tc>
        <w:tc>
          <w:tcPr>
            <w:tcW w:type="dxa" w:w="190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Level band</w:t>
            </w:r>
          </w:p>
        </w:tc>
        <w:tc>
          <w:tcPr>
            <w:tcW w:type="dxa" w:w="6560"/>
            <w:shd w:fill="1F3B57" w:color="auto"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What the player reads</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0</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Something is coming here</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1–24</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Someone just started</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25–96</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This is real now</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97–224</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They know what they are doing</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225–384</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 serious institution</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385–544</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Wealth lives here</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545–704</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Old bones, new power</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705–864</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Visible from the next province</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865–1024</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An economy in one building</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1025–1152</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This should not stand up</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1153–1280</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The world bends here</w:t>
            </w:r>
          </w:p>
        </w:tc>
      </w:tr>
      <w:tr>
        <w:trPr>
          <w:tblHeader w:val="false"/>
        </w:trPr>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w:t>
            </w:r>
          </w:p>
        </w:tc>
        <w:tc>
          <w:tcPr>
            <w:tcW w:type="dxa" w:w="1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1281–1337</w:t>
            </w:r>
          </w:p>
        </w:tc>
        <w:tc>
          <w:tcPr>
            <w:tcW w:type="dxa" w:w="656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of a handful in existence</w:t>
            </w:r>
          </w:p>
        </w:tc>
      </w:tr>
    </w:tbl>
    <w:p>
      <w:pPr>
        <w:spacing w:after="120"/>
      </w:pPr>
      <w:r>
        <w:rPr>
          <w:rFonts w:ascii="Calibri" w:cs="Calibri" w:eastAsia="Calibri" w:hAnsi="Calibri"/>
          <w:b w:val="false"/>
          <w:bCs w:val="false"/>
          <w:i w:val="false"/>
          <w:iCs w:val="false"/>
          <w:sz w:val="22"/>
          <w:szCs w:val="22"/>
        </w:rPr>
        <w:t xml:space="preserve">Tier 6 deserves a note: it is deliberately the era-retrofit stage, where older fabric is visibly upgraded with current-era technology grafted on rather than replaced. This is the Heritage rule made visual, and it is the single most important tier for communicating what kind of game this is.</w:t>
      </w:r>
    </w:p>
    <w:p>
      <w:pPr>
        <w:pStyle w:val="Heading2"/>
        <w:spacing w:after="120" w:before="240"/>
      </w:pPr>
      <w:r>
        <w:rPr>
          <w:rFonts w:ascii="Calibri" w:cs="Calibri" w:eastAsia="Calibri" w:hAnsi="Calibri"/>
        </w:rPr>
        <w:t xml:space="preserve">5.3 Seven Overlay Axes</w:t>
      </w:r>
    </w:p>
    <w:p>
      <w:pPr>
        <w:spacing w:after="120"/>
      </w:pPr>
      <w:r>
        <w:rPr>
          <w:rFonts w:ascii="Calibri" w:cs="Calibri" w:eastAsia="Calibri" w:hAnsi="Calibri"/>
          <w:b w:val="false"/>
          <w:bCs w:val="false"/>
          <w:i w:val="false"/>
          <w:iCs w:val="false"/>
          <w:sz w:val="22"/>
          <w:szCs w:val="22"/>
        </w:rPr>
        <w:t xml:space="preserve">The twelve tiers are multiplied by modular overlay layers that are authored once and shared across the whole building set: era retrofit (7 states), culture and ideology (9), cultivation aura (7), damage (4), activity (3), biome and season (6), and player heraldry. Combined, these yield roughly 381,000 renderable appearances per building from about twelve authored base assets plus shared libraries.</w:t>
      </w:r>
    </w:p>
    <w:p>
      <w:pPr>
        <w:spacing w:after="120"/>
      </w:pPr>
      <w:r>
        <w:rPr>
          <w:rFonts w:ascii="Calibri" w:cs="Calibri" w:eastAsia="Calibri" w:hAnsi="Calibri"/>
          <w:b w:val="false"/>
          <w:bCs w:val="false"/>
          <w:i w:val="false"/>
          <w:iCs w:val="false"/>
          <w:sz w:val="22"/>
          <w:szCs w:val="22"/>
        </w:rPr>
        <w:t xml:space="preserve">Two overlays carry gameplay information and must remain legible at a glance. Damage state persists visibly until repaired, so a scarred and breached skyline tells an approaching army where the fighting was. Activity state includes an Overdriven condition for shard-accelerated construction — temporal shimmer, blurred workers, an audible hum — which is deliberately conspicuous, because Heaven's Envy is meant to be seen.</w:t>
      </w:r>
    </w:p>
    <w:p>
      <w:pPr>
        <w:pStyle w:val="Heading2"/>
        <w:spacing w:after="120" w:before="240"/>
      </w:pPr>
      <w:r>
        <w:rPr>
          <w:rFonts w:ascii="Calibri" w:cs="Calibri" w:eastAsia="Calibri" w:hAnsi="Calibri"/>
        </w:rPr>
        <w:t xml:space="preserve">5.4 Production Estimate</w:t>
      </w:r>
    </w:p>
    <w:p>
      <w:pPr>
        <w:spacing w:after="120"/>
      </w:pPr>
      <w:r>
        <w:rPr>
          <w:rFonts w:ascii="Calibri" w:cs="Calibri" w:eastAsia="Calibri" w:hAnsi="Calibri"/>
          <w:b w:val="false"/>
          <w:bCs w:val="false"/>
          <w:i w:val="false"/>
          <w:iCs w:val="false"/>
          <w:sz w:val="22"/>
          <w:szCs w:val="22"/>
        </w:rPr>
        <w:t xml:space="preserve">Tiers 0 through 8 are kit-bashable from a shared modular library per era and category. Tiers 9 through 11 need bespoke attention, and tier 11 is a unique hero asset per building — a named wonder, not a variant. Total authored renders land near 5,800 across the full 483-building set, against 646,000 for the per-level approach.</w:t>
      </w:r>
    </w:p>
    <w:p>
      <w:pPr>
        <w:pStyle w:val="Heading2"/>
        <w:spacing w:after="120" w:before="240"/>
      </w:pPr>
      <w:r>
        <w:rPr>
          <w:rFonts w:ascii="Calibri" w:cs="Calibri" w:eastAsia="Calibri" w:hAnsi="Calibri"/>
        </w:rPr>
        <w:t xml:space="preserve">5.5 Worked Exemplars</w:t>
      </w:r>
    </w:p>
    <w:p>
      <w:pPr>
        <w:spacing w:after="120"/>
      </w:pPr>
      <w:r>
        <w:rPr>
          <w:rFonts w:ascii="Calibri" w:cs="Calibri" w:eastAsia="Calibri" w:hAnsi="Calibri"/>
          <w:b w:val="false"/>
          <w:bCs w:val="false"/>
          <w:i w:val="false"/>
          <w:iCs w:val="false"/>
          <w:sz w:val="22"/>
          <w:szCs w:val="22"/>
        </w:rPr>
        <w:t xml:space="preserve">The workbook sheet ArtBrief_Exemplars carries the complete twelve-tier appearance arc for four buildings chosen to span the range: the Chieftain's Hall (governance), the Farm (extraction), the Palisade (defence), and the Spirit Grove (cultivation). Each shows how a building should evolve from stakes in the dirt to a structure visible from orbit while remaining recognisably itself. Every other building is briefed by combining its Visual DNA line with the universal tier transformations and the overlay library — which is how 479 further buildings get art-directed without 479 bespoke essays.</w:t>
      </w:r>
    </w:p>
    <w:p>
      <w:pPr>
        <w:spacing w:after="120"/>
      </w:pPr>
      <w:r>
        <w:rPr>
          <w:rFonts w:ascii="Calibri" w:cs="Calibri" w:eastAsia="Calibri" w:hAnsi="Calibri"/>
          <w:b w:val="false"/>
          <w:bCs w:val="false"/>
          <w:i w:val="false"/>
          <w:iCs w:val="false"/>
          <w:sz w:val="22"/>
          <w:szCs w:val="22"/>
        </w:rPr>
        <w:t xml:space="preserve">The Chieftain's Hall arc is the template worth internalising: at tier 6 the original timber longhouse is preserved intact inside a shell of newer construction, deliberately visible as heritage; at tier 11 it is a named seat of power visible from orbit with that same original hut still burning its hearth at the core. Ten centuries of play, and the first thing the player ever built is still there.</w:t>
      </w:r>
    </w:p>
    <w:p>
      <w:r>
        <w:br w:type="page"/>
      </w:r>
    </w:p>
    <w:p>
      <w:pPr>
        <w:pStyle w:val="Heading1"/>
        <w:spacing w:after="160" w:before="320"/>
      </w:pPr>
      <w:r>
        <w:rPr>
          <w:rFonts w:ascii="Calibri" w:cs="Calibri" w:eastAsia="Calibri" w:hAnsi="Calibri"/>
        </w:rPr>
        <w:t xml:space="preserve">6. What Comes Next</w:t>
      </w:r>
    </w:p>
    <w:p>
      <w:pPr>
        <w:pStyle w:val="ListParagraph"/>
        <w:numPr>
          <w:ilvl w:val="0"/>
          <w:numId w:val="2"/>
        </w:numPr>
        <w:spacing w:after="60"/>
      </w:pPr>
      <w:r>
        <w:rPr>
          <w:rFonts w:ascii="Calibri" w:cs="Calibri" w:eastAsia="Calibri" w:hAnsi="Calibri"/>
          <w:sz w:val="22"/>
          <w:szCs w:val="22"/>
        </w:rPr>
        <w:t xml:space="preserve">Specs for Eras II–VII: 414 buildings on the identical template. This is the largest remaining content task and the one that should be done era by era, in build order.</w:t>
      </w:r>
    </w:p>
    <w:p>
      <w:pPr>
        <w:pStyle w:val="ListParagraph"/>
        <w:numPr>
          <w:ilvl w:val="0"/>
          <w:numId w:val="2"/>
        </w:numPr>
        <w:spacing w:after="60"/>
      </w:pPr>
      <w:r>
        <w:rPr>
          <w:rFonts w:ascii="Calibri" w:cs="Calibri" w:eastAsia="Calibri" w:hAnsi="Calibri"/>
          <w:sz w:val="22"/>
          <w:szCs w:val="22"/>
        </w:rPr>
        <w:t xml:space="preserve">Full twelve-tier art briefs beyond the four exemplars, prioritised by what players see first — Era I and II in full, later eras by category kit rather than per building.</w:t>
      </w:r>
    </w:p>
    <w:p>
      <w:pPr>
        <w:pStyle w:val="ListParagraph"/>
        <w:numPr>
          <w:ilvl w:val="0"/>
          <w:numId w:val="2"/>
        </w:numPr>
        <w:spacing w:after="60"/>
      </w:pPr>
      <w:r>
        <w:rPr>
          <w:rFonts w:ascii="Calibri" w:cs="Calibri" w:eastAsia="Calibri" w:hAnsi="Calibri"/>
          <w:sz w:val="22"/>
          <w:szCs w:val="22"/>
        </w:rPr>
        <w:t xml:space="preserve">Per-building numeric tuning: base output, staffing curves, adjacency percentages, and size class assignments, which currently exist as category defaults rather than per-building values.</w:t>
      </w:r>
    </w:p>
    <w:p>
      <w:pPr>
        <w:pStyle w:val="ListParagraph"/>
        <w:numPr>
          <w:ilvl w:val="0"/>
          <w:numId w:val="2"/>
        </w:numPr>
        <w:spacing w:after="60"/>
      </w:pPr>
      <w:r>
        <w:rPr>
          <w:rFonts w:ascii="Calibri" w:cs="Calibri" w:eastAsia="Calibri" w:hAnsi="Calibri"/>
          <w:sz w:val="22"/>
          <w:szCs w:val="22"/>
        </w:rPr>
        <w:t xml:space="preserve">The equivalent treatment for units: the 2,268-entry roster has stats but not yet purpose, distinctive mechanics, or visual briefs.</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Ascendance — Building Systems Bible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2"/>
      <w:szCs w:val="32"/>
    </w:rPr>
  </w:style>
  <w:style w:type="paragraph" w:styleId="Heading2">
    <w:name w:val="Heading 2"/>
    <w:basedOn w:val="Normal"/>
    <w:next w:val="Normal"/>
    <w:qFormat/>
    <w:rPr>
      <w:rFonts w:ascii="Calibri" w:cs="Calibri" w:eastAsia="Calibri" w:hAnsi="Calibri"/>
      <w:b/>
      <w:bCs/>
      <w:color w:val="2E55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2026-09-12T06:11:39.963Z</dcterms:created>
  <dcterms:modified xsi:type="dcterms:W3CDTF">2026-09-12T06:11:39.971Z</dcterms:modified>
</cp:coreProperties>
</file>

<file path=docProps/custom.xml><?xml version="1.0" encoding="utf-8"?>
<Properties xmlns="http://schemas.openxmlformats.org/officeDocument/2006/custom-properties" xmlns:vt="http://schemas.openxmlformats.org/officeDocument/2006/docPropsVTypes"/>
</file>