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2"/>
        </w:rPr>
        <w:t>Bio-Oil Geological Storage Pathway — High-Level Overview</w:t>
      </w:r>
    </w:p>
    <w:p>
      <w:r>
        <w:rPr>
          <w:b/>
        </w:rPr>
        <w:t xml:space="preserve">Governing framework: </w:t>
      </w:r>
      <w:r>
        <w:rPr>
          <w:i w:val="0"/>
        </w:rPr>
        <w:t xml:space="preserve">Isometric </w:t>
      </w:r>
      <w:r>
        <w:rPr>
          <w:i/>
        </w:rPr>
        <w:t>Bio-oil Geological Storage Protocol v1.1</w:t>
      </w:r>
      <w:r>
        <w:t>. Core accounting equation:</w:t>
      </w:r>
    </w:p>
    <w:p>
      <w:pPr>
        <w:ind w:left="720"/>
      </w:pPr>
      <w:r>
        <w:rPr>
          <w:b/>
        </w:rPr>
        <w:t>CO₂e_Removal = CO₂e_Stored − CO₂e_Counterfactual − CO₂e_Emissions</w:t>
      </w:r>
    </w:p>
    <w:p>
      <w:r>
        <w:t>Every step below feeds one of those three terms, and net removals are then reduced by a site-specific buffer pool before credits issue.</w:t>
      </w:r>
    </w:p>
    <w:p>
      <w:r>
        <w:rPr>
          <w:b/>
        </w:rPr>
        <w:t>1. Biomass feedstock</w:t>
      </w:r>
    </w:p>
    <w:p>
      <w:r>
        <w:t>Waste biomass is sourced and screened for eligibility. Its avoided fate (decay, combustion, landfill methane) sets the CO₂e_Counterfactual baseline.</w:t>
      </w:r>
    </w:p>
    <w:p>
      <w:r>
        <w:rPr>
          <w:b/>
        </w:rPr>
        <w:t>2. Feedstock transport to the production facility</w:t>
      </w:r>
    </w:p>
    <w:p>
      <w:r>
        <w:t>Biomass is moved from its point of origin to the pyrolysis facility. Associated transport emissions enter CO₂e_Emissions.</w:t>
      </w:r>
    </w:p>
    <w:p>
      <w:r>
        <w:rPr>
          <w:b/>
        </w:rPr>
        <w:t>3. Pyrolysis conversion</w:t>
      </w:r>
    </w:p>
    <w:p>
      <w:r>
        <w:t>Fast pyrolysis converts biomass into bio-oil (the carbon-bearing product), syngas (process heat), and biochar (separate co-product pathway). Pyrolysis process and embodied emissions enter CO₂e_Emissions.</w:t>
      </w:r>
    </w:p>
    <w:p>
      <w:r>
        <w:rPr>
          <w:b/>
        </w:rPr>
        <w:t>4. Energy use at the production facility</w:t>
      </w:r>
    </w:p>
    <w:p>
      <w:r>
        <w:t>Electricity and on-site fuel consumption during pyrolysis are quantified and added to CO₂e_Emissions.</w:t>
      </w:r>
    </w:p>
    <w:p>
      <w:r>
        <w:rPr>
          <w:b/>
        </w:rPr>
        <w:t>5. Bio-oil transport to the injection site</w:t>
      </w:r>
    </w:p>
    <w:p>
      <w:r>
        <w:t>Bio-oil is moved from the production facility to the injection well by truck and/or rail. All transport-leg emissions enter CO₂e_Emissions; low-carbon fuel use can be offset 1:1 by BCUs.</w:t>
      </w:r>
    </w:p>
    <w:p>
      <w:r>
        <w:rPr>
          <w:b/>
        </w:rPr>
        <w:t>6. Pre-treatment and on-site handling</w:t>
      </w:r>
    </w:p>
    <w:p>
      <w:r>
        <w:t>Any conditioning at the injection site (pH adjustment, sparging, etc.) is quantified — both the emissions incurred and any associated mass adjustments to the injectate.</w:t>
      </w:r>
    </w:p>
    <w:p>
      <w:r>
        <w:rPr>
          <w:b/>
        </w:rPr>
        <w:t>7. Geological injection</w:t>
      </w:r>
    </w:p>
    <w:p>
      <w:r>
        <w:t>Bio-oil is injected via a UIC well into the storage formation (permeable reservoir or salt cavern). Site protocol governs containment, pressure management, and density requirements.</w:t>
      </w:r>
    </w:p>
    <w:p>
      <w:r>
        <w:rPr>
          <w:b/>
        </w:rPr>
        <w:t>8. Sequestration measurement</w:t>
      </w:r>
    </w:p>
    <w:p>
      <w:r>
        <w:t>Carbon content of the injectate × injectate mass × 44/12 yields CO₂e_Stored. Conservative estimation rules apply per the Isometric Standard.</w:t>
      </w:r>
    </w:p>
    <w:p>
      <w:r>
        <w:rPr>
          <w:b/>
        </w:rPr>
        <w:t>9. Net removal and buffer pool</w:t>
      </w:r>
    </w:p>
    <w:p>
      <w:r>
        <w:t>CO₂e_Removal is computed from the core equation, then reduced by the site-specific buffer (2% very low risk, 5% low risk) to produce issuable tonnes.</w:t>
      </w:r>
    </w:p>
    <w:p>
      <w:r>
        <w:rPr>
          <w:b/>
        </w:rPr>
        <w:t>10. Verification and issuance</w:t>
      </w:r>
    </w:p>
    <w:p>
      <w:r>
        <w:t>A VVB verifies the period's claim against the protocol and the project's PDD. Credits issue on the Isometric registry over a 10-year crediting period.</w:t>
      </w:r>
    </w:p>
    <w:p>
      <w:r>
        <w:rPr>
          <w:b/>
        </w:rPr>
        <w:t>11. Post-injection monitoring</w:t>
      </w:r>
    </w:p>
    <w:p>
      <w:r>
        <w:t>Site-specific monitoring obligations confirm continued containment; the buffer pool absorbs any reversal risk.</w:t>
      </w:r>
    </w:p>
    <w:p/>
    <w:p>
      <w:r>
        <w:rPr>
          <w:b/>
        </w:rPr>
        <w:t xml:space="preserve">Accounting flow in one line: </w:t>
      </w:r>
      <w:r>
        <w:t>Counterfactual sets the baseline → Stored is what gets injected → Emissions across feedstock sourcing and transport, pyrolysis, energy, bio-oil transport, and injection are subtracted → Buffer is withheld → Net is verified and issued.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