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DFE2" w14:textId="77777777" w:rsidR="00C44D41" w:rsidRDefault="00000000">
      <w:r>
        <w:rPr>
          <w:b/>
        </w:rPr>
        <w:t>CHARM INDUSTRIAL</w:t>
      </w:r>
    </w:p>
    <w:p w14:paraId="1CA5C3EF" w14:textId="77777777" w:rsidR="00C44D41" w:rsidRDefault="00000000">
      <w:r>
        <w:rPr>
          <w:b/>
          <w:sz w:val="32"/>
        </w:rPr>
        <w:t>Response to Isometric: Decoupling Durability Monitoring from Verification</w:t>
      </w:r>
    </w:p>
    <w:p w14:paraId="1E5A71B5" w14:textId="77777777" w:rsidR="00C44D41" w:rsidRDefault="00000000">
      <w:r>
        <w:rPr>
          <w:b/>
        </w:rPr>
        <w:t xml:space="preserve">Date: </w:t>
      </w:r>
      <w:r>
        <w:t>May 1, 2026</w:t>
      </w:r>
    </w:p>
    <w:p w14:paraId="0EC8E3FB" w14:textId="77777777" w:rsidR="00C44D41" w:rsidRDefault="00000000">
      <w:r>
        <w:rPr>
          <w:b/>
        </w:rPr>
        <w:t xml:space="preserve">From: </w:t>
      </w:r>
      <w:r>
        <w:t>Max Lavine, Carbon Protocol and Verification Lead, Charm Industrial</w:t>
      </w:r>
    </w:p>
    <w:p w14:paraId="4BDEC2A4" w14:textId="77777777" w:rsidR="00C44D41" w:rsidRDefault="00000000">
      <w:r>
        <w:rPr>
          <w:b/>
        </w:rPr>
        <w:t xml:space="preserve">To: </w:t>
      </w:r>
      <w:r>
        <w:t>Isometric Science Team</w:t>
      </w:r>
    </w:p>
    <w:p w14:paraId="3BDDD8BB" w14:textId="77777777" w:rsidR="00C44D41" w:rsidRDefault="00000000">
      <w:r>
        <w:rPr>
          <w:b/>
        </w:rPr>
        <w:t xml:space="preserve">Re: </w:t>
      </w:r>
      <w:r>
        <w:t>Bio-oil Monitoring Reporting Requirements &amp; Decoupling from Verification (April 2026 proposal)</w:t>
      </w:r>
    </w:p>
    <w:p w14:paraId="48D05EE4" w14:textId="77777777" w:rsidR="00C44D41" w:rsidRDefault="00000000">
      <w:r>
        <w:rPr>
          <w:b/>
          <w:sz w:val="26"/>
        </w:rPr>
        <w:t>1. Alignment in principle</w:t>
      </w:r>
    </w:p>
    <w:p w14:paraId="7CD52C50" w14:textId="77777777" w:rsidR="00C44D41" w:rsidRDefault="00000000">
      <w:r>
        <w:t>Charm aligns with the principle that decoupling durability monitoring from credit verification will improve the verification process without sacrificing scientific rigor. A reversal would affect all carbon stored across a project's lifetime, not just the most recent reporting period, and a predictable monitoring rhythm gives Charm, Isometric, and the VVB earlier visibility into operational data than the current verification-coupled model allows. We are supportive of the move.</w:t>
      </w:r>
    </w:p>
    <w:p w14:paraId="1911F0F3" w14:textId="77777777" w:rsidR="00C44D41" w:rsidRDefault="00000000">
      <w:r>
        <w:rPr>
          <w:b/>
          <w:sz w:val="26"/>
        </w:rPr>
        <w:t>2. Implementation alignment items</w:t>
      </w:r>
    </w:p>
    <w:p w14:paraId="605565BA" w14:textId="77777777" w:rsidR="00C44D41" w:rsidRDefault="00000000">
      <w:r>
        <w:t>There are a number of points within the proposal that we need to align on to ensure successful implementation. Each of the items below is meant to be settled once, in writing, before the first six-month cycle begins.</w:t>
      </w:r>
    </w:p>
    <w:p w14:paraId="472C8D67" w14:textId="77777777" w:rsidR="00C44D41" w:rsidRDefault="00000000">
      <w:r>
        <w:rPr>
          <w:b/>
          <w:sz w:val="24"/>
        </w:rPr>
        <w:t>2.1 Filing window</w:t>
      </w:r>
    </w:p>
    <w:p w14:paraId="1339736D" w14:textId="77777777" w:rsidR="00C44D41" w:rsidRDefault="00000000">
      <w:r>
        <w:t>A flat 30-day filing window after period end will not work in practice. Most KDHE testing is itself due 30 days (in some cases 60 days) after the close of the period being reported on, and from there it typically takes another 2–4 weeks for KDHE to turn the documents around. Under the proposed schedule, a Jan–Jun report due July 30 would not yet have June's regulator-reviewed monitoring back, never mind a chance to reconcile and QA it.</w:t>
      </w:r>
    </w:p>
    <w:p w14:paraId="1E0DC942" w14:textId="77777777" w:rsidR="00C44D41" w:rsidRDefault="00000000">
      <w:r>
        <w:t>Charm proposes one of two clean fixes:</w:t>
      </w:r>
    </w:p>
    <w:p w14:paraId="11EEA659" w14:textId="77777777" w:rsidR="00C44D41" w:rsidRDefault="00000000">
      <w:pPr>
        <w:pStyle w:val="ListBullet"/>
      </w:pPr>
      <w:r>
        <w:t>Lengthen the filing window to 60 days from period end, with explicit acknowledgment that external regulatory data covering the final month of the period may carry into the next cycle if it is not yet available; or</w:t>
      </w:r>
    </w:p>
    <w:p w14:paraId="0B704EBF" w14:textId="77777777" w:rsidR="00C44D41" w:rsidRDefault="00000000">
      <w:pPr>
        <w:pStyle w:val="ListBullet"/>
      </w:pPr>
      <w:r>
        <w:t>Adopt a one-period-lag convention where externally-sourced regulatory data covering month N is reported in the period that includes month N+1 or N+2, depending on regulator turnaround for that data stream.</w:t>
      </w:r>
    </w:p>
    <w:p w14:paraId="6E89A184" w14:textId="77777777" w:rsidR="00C44D41" w:rsidRDefault="00000000">
      <w:r>
        <w:lastRenderedPageBreak/>
        <w:t>Either approach is fine; Charm's preference is the 60-day window because it preserves a single submission per period and keeps the data alongside the rest of the cycle's evidence. We'd ask that whichever convention is chosen be specified in the agreement rather than left to per-cycle negotiation.</w:t>
      </w:r>
    </w:p>
    <w:p w14:paraId="310644A2" w14:textId="77777777" w:rsidR="00C44D41" w:rsidRDefault="00000000">
      <w:r>
        <w:rPr>
          <w:b/>
          <w:sz w:val="24"/>
        </w:rPr>
        <w:t>2.2 Non-rhythmic scheduling</w:t>
      </w:r>
    </w:p>
    <w:p w14:paraId="5883C21B" w14:textId="77777777" w:rsidR="00C44D41" w:rsidRDefault="00000000">
      <w:r>
        <w:t>Several KDHE-mandated tests are not on annual or semi-annual cadences — they are required at longer intervals (every two years, every five years, event-driven workover plans, etc.). Forcing those into a six-month report cycle either generates empty placeholders or creates the illusion of missed deliverables on cycle boundaries.</w:t>
      </w:r>
    </w:p>
    <w:p w14:paraId="51BA7C0B" w14:textId="77777777" w:rsidR="00C44D41" w:rsidRDefault="00000000">
      <w:r>
        <w:t>Charm proposes a clean rule: any test or measurement of this kind is included in the Monitoring Report covering the period in which it falls due. A test due in September, for example, would be filed in the H2 Monitoring Report; a test due in March would be filed in H1. If no such test is scheduled in a given period, the Monitoring Report states that and confirms compliance with the underlying storage module's measurement schedule. This applies to Vaulted Deep (Hutchinson, KS) post-injection / decommissioning monitoring as well as any other site that ends up in a similar state.</w:t>
      </w:r>
    </w:p>
    <w:p w14:paraId="7A35A3F5" w14:textId="77777777" w:rsidR="00C44D41" w:rsidRDefault="00000000">
      <w:r>
        <w:rPr>
          <w:b/>
          <w:sz w:val="24"/>
        </w:rPr>
        <w:t>2.3 Reversal investigation workflow</w:t>
      </w:r>
    </w:p>
    <w:p w14:paraId="76DFF8C5" w14:textId="77777777" w:rsidR="00C44D41" w:rsidRDefault="00000000">
      <w:r>
        <w:t>The proposal correctly notes that a reversal indicator could now surface in a Monitoring Report rather than at a credit verification. The procedural surface is new and currently underspecified. Charm proposes the following outline for the workflow and would ask Isometric to confirm alignment:</w:t>
      </w:r>
    </w:p>
    <w:p w14:paraId="095786B2" w14:textId="77777777" w:rsidR="00C44D41" w:rsidRDefault="00000000">
      <w:pPr>
        <w:pStyle w:val="ListBullet"/>
      </w:pPr>
      <w:r>
        <w:t>Trigger criteria: a sustained sensor excursion exceeding documented thresholds in the applicable storage module, a confirmed loss of well integrity per UIC standards, or loss of contact with monitoring instrumentation that cannot be restored within a defined window. A single transient anomaly is logged in the Incident &amp; Excursion Log but does not by itself open a formal investigation.</w:t>
      </w:r>
    </w:p>
    <w:p w14:paraId="7DD70824" w14:textId="77777777" w:rsidR="00C44D41" w:rsidRDefault="00000000">
      <w:pPr>
        <w:pStyle w:val="ListBullet"/>
      </w:pPr>
      <w:r>
        <w:t>Investigation lead and timeline: Charm leads the investigation with VVB and Isometric oversight. 30 days for an initial assessment, 90 days for a full investigation report, with documented extensions capped at 180 days for unusual cases.</w:t>
      </w:r>
    </w:p>
    <w:p w14:paraId="3D605719" w14:textId="77777777" w:rsidR="00C44D41" w:rsidRDefault="00000000">
      <w:pPr>
        <w:pStyle w:val="ListBullet"/>
      </w:pPr>
      <w:r>
        <w:t>Interaction with in-flight credit verifications: investigations run in parallel with in-flight credit verifications rather than freezing them. Credits already verified for prior reporting periods are unaffected unless the investigation specifically implicates the carbon stored in those periods.</w:t>
      </w:r>
    </w:p>
    <w:p w14:paraId="33FA23E3" w14:textId="77777777" w:rsidR="00C44D41" w:rsidRDefault="00000000">
      <w:pPr>
        <w:pStyle w:val="ListBullet"/>
      </w:pPr>
      <w:r>
        <w:t>Buffer pool draw mechanics: a buffer pool draw is triggered only on confirmed reversal at the close of the investigation, and is scoped to the demonstrably-affected stored mass — not project-wide. Calculation per the existing Isometric Standard mechanics.</w:t>
      </w:r>
    </w:p>
    <w:p w14:paraId="1E3F9216" w14:textId="3A01A28B" w:rsidR="00C44D41" w:rsidRDefault="00000000">
      <w:pPr>
        <w:pStyle w:val="ListBullet"/>
      </w:pPr>
      <w:r>
        <w:t>Stakeholder notification: Charm notifies the VVB and Isometric</w:t>
      </w:r>
      <w:r w:rsidR="00AF5166">
        <w:t xml:space="preserve"> within one business day of beginning an investigation, with a 3-business-day maximum per Standard v2.0 5.6.1</w:t>
      </w:r>
      <w:r w:rsidRPr="00AF5166">
        <w:t>.</w:t>
      </w:r>
      <w:r>
        <w:t xml:space="preserve"> Public registry notification is made on a confirmed reversal at the close of the investigation, not at investigation opening, to avoid market-disturbing notices for anomalies that resolve under investigation.</w:t>
      </w:r>
    </w:p>
    <w:p w14:paraId="07D40893" w14:textId="77777777" w:rsidR="00C44D41" w:rsidRDefault="00000000">
      <w:r>
        <w:rPr>
          <w:b/>
          <w:sz w:val="24"/>
        </w:rPr>
        <w:t>2.4 Monitoring verification</w:t>
      </w:r>
    </w:p>
    <w:p w14:paraId="6C5993D1" w14:textId="77777777" w:rsidR="00C44D41" w:rsidRDefault="00000000">
      <w:r>
        <w:lastRenderedPageBreak/>
        <w:t>The proposal introduces a VVB-conducted monitoring verification on each six-monthly report. Charm proposes the following outline for how this workflow runs and would ask Isometric to confirm alignment:</w:t>
      </w:r>
    </w:p>
    <w:p w14:paraId="43889D68" w14:textId="77777777" w:rsidR="00C44D41" w:rsidRDefault="00000000">
      <w:pPr>
        <w:pStyle w:val="ListBullet"/>
      </w:pPr>
      <w:r>
        <w:t>Public deliverable: each Monitoring Report and its VVB review produces a “Monitoring Statement” published to the registry alongside the report — analogous in form to the GHG Statement, but attesting to durability monitoring conformance for the period rather than to credit issuance. The Monitoring Statement does not itself trigger or block credit issuance, which continues to flow from credit verifications.</w:t>
      </w:r>
    </w:p>
    <w:p w14:paraId="6B0B6895" w14:textId="77777777" w:rsidR="00C44D41" w:rsidRDefault="00000000">
      <w:pPr>
        <w:pStyle w:val="ListBullet"/>
      </w:pPr>
      <w:r>
        <w:t>Scope: the monitoring verification covers the data submitted in the six-month Monitoring Report — durability monitoring data per the applicable storage module(s), reversal indicators, the Incident &amp; Excursion Log, and any post-injection / decommissioning items per Section 2.2. It does not duplicate credit-verification scope.</w:t>
      </w:r>
    </w:p>
    <w:p w14:paraId="2FB8191C" w14:textId="1B6DA521" w:rsidR="00C44D41" w:rsidRDefault="00000000">
      <w:pPr>
        <w:pStyle w:val="ListBullet"/>
      </w:pPr>
      <w:r>
        <w:t xml:space="preserve">Response windows: evidence-request and response windows mirror the existing credit-verification SLA framework rather than introduce a parallel set of timelines. </w:t>
      </w:r>
    </w:p>
    <w:p w14:paraId="44A8201D" w14:textId="77777777" w:rsidR="00C44D41" w:rsidRDefault="00000000">
      <w:pPr>
        <w:pStyle w:val="ListBullet"/>
      </w:pPr>
      <w:r>
        <w:t>VVB engagement: Charm's preference is that a single VVB engagement cover both credit and monitoring verifications, since the data sets share custody chains and a single engagement avoids bifurcation. Splitting may be workable if Isometric or the VVB has reason to prefer it; we'd flag it as a question that ultimately sits between Isometric and the VVB but with implications for Charm's documentation packaging.</w:t>
      </w:r>
    </w:p>
    <w:p w14:paraId="00E4C351" w14:textId="77777777" w:rsidR="00C44D41" w:rsidRDefault="00000000">
      <w:r>
        <w:rPr>
          <w:b/>
          <w:sz w:val="24"/>
        </w:rPr>
        <w:t>2.5 First reporting cycle plan</w:t>
      </w:r>
    </w:p>
    <w:p w14:paraId="6325B88A" w14:textId="77777777" w:rsidR="00C44D41" w:rsidRDefault="00000000">
      <w:r>
        <w:t>Charm has already submitted monitoring data for the first quarter of 2026 at Basco under the existing per-RP regime. For a clean cut-over we would propose the first H1 2026 Monitoring Report cover Basco Q4 and Vaulted H1, leaving the Q1 2026 submission to stand on its own under the prior cadence rather than re-packaging it.</w:t>
      </w:r>
    </w:p>
    <w:p w14:paraId="3925763A" w14:textId="77777777" w:rsidR="00C44D41" w:rsidRDefault="00000000">
      <w:r>
        <w:t>We are flexible on the exact cut-over date, but would ask that it be settled before drafting the first Monitoring Report rather than after.</w:t>
      </w:r>
    </w:p>
    <w:p w14:paraId="6D356A2E" w14:textId="77777777" w:rsidR="00C44D41" w:rsidRDefault="00000000">
      <w:r>
        <w:rPr>
          <w:b/>
          <w:sz w:val="24"/>
        </w:rPr>
        <w:t>2.6 Vehicle for the agreement</w:t>
      </w:r>
    </w:p>
    <w:p w14:paraId="3537621E" w14:textId="77777777" w:rsidR="00C44D41" w:rsidRDefault="00000000">
      <w:r>
        <w:t>Our understanding is that this is intended as an operational agreement under the existing Bio-oil Geological Storage protocol rather than a protocol module version bump. That is workable for Charm and avoids the §2.4.5 protocol-adoption-at-renewal question. We would ask that the resolutions on each of the items above live in a single signed document with the same operational status as the existing SLA — written, dated, and referenceable — rather than living in email threads or in our respective notes.</w:t>
      </w:r>
    </w:p>
    <w:p w14:paraId="28BBF908" w14:textId="77777777" w:rsidR="00C44D41" w:rsidRDefault="00000000">
      <w:r>
        <w:rPr>
          <w:b/>
          <w:sz w:val="26"/>
        </w:rPr>
        <w:t>3. In addition: extend Charm-side CI tenure to six months</w:t>
      </w:r>
    </w:p>
    <w:p w14:paraId="4E4D8378" w14:textId="77777777" w:rsidR="00C44D41" w:rsidRDefault="00000000">
      <w:r>
        <w:t xml:space="preserve">In addition to the items above, Charm believes this proposal presents a natural opportunity to act on a related ask from 350Solutions: extending the “tenure” of carbon intensities (CIs) for Charm-produced </w:t>
      </w:r>
      <w:r>
        <w:lastRenderedPageBreak/>
        <w:t>bio-oil and biochar would meaningfully reduce time-to-verify by stabilizing the EFs that the VVB validates each cycle, without changing the underlying quantification methodology.</w:t>
      </w:r>
    </w:p>
    <w:p w14:paraId="0EB96B16" w14:textId="77777777" w:rsidR="00C44D41" w:rsidRDefault="00000000">
      <w:r>
        <w:t>It is also worth noting that one month is an unusually short tenure for a CI in emissions quantification schemes generally. Most analogous frameworks (GREET-derived, GHG Protocol, GLEC, regulatory inventories) use semi-annual or annual tenures; AECN's process and embodied EFs are already on a half-yearly cadence within Charm's own scope. The current Charm-side monthly-to-bimonthly cadence is the outlier, not the norm.</w:t>
      </w:r>
    </w:p>
    <w:p w14:paraId="7A4DF252" w14:textId="77777777" w:rsidR="00C44D41" w:rsidRDefault="00000000">
      <w:r>
        <w:rPr>
          <w:b/>
          <w:sz w:val="24"/>
        </w:rPr>
        <w:t>3.1 Proposed change</w:t>
      </w:r>
    </w:p>
    <w:p w14:paraId="1B5630FF" w14:textId="77777777" w:rsidR="00C44D41" w:rsidRDefault="00000000">
      <w:r>
        <w:t>Charm proposes extending the CI for Charm-produced bio-oil (WODO, Aqueous) and biochar from one month to six months. Mechanically, this mirrors how AECN CIs already work:</w:t>
      </w:r>
    </w:p>
    <w:p w14:paraId="54A26E31" w14:textId="77777777" w:rsidR="00C44D41" w:rsidRDefault="00000000">
      <w:pPr>
        <w:pStyle w:val="ListBullet"/>
      </w:pPr>
      <w:r>
        <w:t>The CI applied to product produced during a given six-month period is computed from the prior six months' emissions and production data.</w:t>
      </w:r>
    </w:p>
    <w:p w14:paraId="766A398B" w14:textId="77777777" w:rsidR="00C44D41" w:rsidRDefault="00000000">
      <w:pPr>
        <w:pStyle w:val="ListBullet"/>
      </w:pPr>
      <w:r>
        <w:t>At the close of each six-month period, that period's emissions and production data are aggregated and used to compute the CI that applies to the following six-month period's product.</w:t>
      </w:r>
    </w:p>
    <w:p w14:paraId="642E9157" w14:textId="77777777" w:rsidR="00C44D41" w:rsidRDefault="00000000">
      <w:pPr>
        <w:pStyle w:val="ListBullet"/>
      </w:pPr>
      <w:r>
        <w:t>The cycle continues on the same calendar each period thereafter.</w:t>
      </w:r>
    </w:p>
    <w:p w14:paraId="698A9C95" w14:textId="77777777" w:rsidR="00C44D41" w:rsidRDefault="00000000">
      <w:r>
        <w:t>The underlying quantification methodology is unchanged. Only the aggregation window changes.</w:t>
      </w:r>
    </w:p>
    <w:p w14:paraId="05A5E224" w14:textId="77777777" w:rsidR="00C44D41" w:rsidRDefault="00000000">
      <w:r>
        <w:rPr>
          <w:b/>
          <w:sz w:val="24"/>
        </w:rPr>
        <w:t>3.2 Alignment with the rest of this proposal</w:t>
      </w:r>
    </w:p>
    <w:p w14:paraId="47E122AB" w14:textId="77777777" w:rsidR="00C44D41" w:rsidRDefault="00000000">
      <w:r>
        <w:t>Adopting a six-month tenure for Charm-side CIs lines up the cadence of three things that are currently misaligned:</w:t>
      </w:r>
    </w:p>
    <w:p w14:paraId="22FBDEAD" w14:textId="77777777" w:rsidR="00C44D41" w:rsidRDefault="00000000">
      <w:pPr>
        <w:pStyle w:val="ListBullet"/>
      </w:pPr>
      <w:r>
        <w:t>New AECN CIs (already half-yearly).</w:t>
      </w:r>
    </w:p>
    <w:p w14:paraId="339A638C" w14:textId="77777777" w:rsidR="00C44D41" w:rsidRDefault="00000000">
      <w:pPr>
        <w:pStyle w:val="ListBullet"/>
      </w:pPr>
      <w:r>
        <w:t>Charm-produced bio-oil and biochar CIs (proposed half-yearly under this section).</w:t>
      </w:r>
    </w:p>
    <w:p w14:paraId="44E9BD63" w14:textId="77777777" w:rsidR="00C44D41" w:rsidRDefault="00000000">
      <w:pPr>
        <w:pStyle w:val="ListBullet"/>
      </w:pPr>
      <w:r>
        <w:t>Durability monitoring data submission (proposed half-yearly under the rest of this proposal).</w:t>
      </w:r>
    </w:p>
    <w:p w14:paraId="56135C66" w14:textId="77777777" w:rsidR="00C44D41" w:rsidRDefault="00000000">
      <w:r>
        <w:t>All three then run on a single H1 / H2 calendar, which is the underlying simplification this proposal is reaching for.</w:t>
      </w:r>
    </w:p>
    <w:p w14:paraId="3FCCA24D" w14:textId="77777777" w:rsidR="00C44D41" w:rsidRDefault="00000000">
      <w:r>
        <w:rPr>
          <w:b/>
          <w:sz w:val="24"/>
        </w:rPr>
        <w:t>3.3 First reporting cycle</w:t>
      </w:r>
    </w:p>
    <w:p w14:paraId="287B375F" w14:textId="77777777" w:rsidR="00C44D41" w:rsidRDefault="00000000">
      <w:r>
        <w:t>Under this approach, the H1 2026 reporting package would include Charm H1 2026 production CI inputs alongside Basco Q4 and Vaulted H1 monitoring data described in Section 2.5 — i.e., a single H1 2026 submission that covers both the durability and the production-side data on the same cycle.</w:t>
      </w:r>
    </w:p>
    <w:p w14:paraId="1A07F15C" w14:textId="77777777" w:rsidR="00C44D41" w:rsidRDefault="00000000">
      <w:r>
        <w:rPr>
          <w:b/>
          <w:sz w:val="26"/>
        </w:rPr>
        <w:t>Next steps</w:t>
      </w:r>
    </w:p>
    <w:p w14:paraId="3DC31297" w14:textId="77777777" w:rsidR="00C44D41" w:rsidRDefault="00000000">
      <w:r>
        <w:t xml:space="preserve">If the above is acceptable as a basis for proceeding, Charm proposes the following path: (i) a working call to walk through the items in Sections 2 and 3, (ii) Isometric to circulate a draft of the operational </w:t>
      </w:r>
      <w:r>
        <w:lastRenderedPageBreak/>
        <w:t>agreement incorporating the resolutions, (iii) Charm to review and confirm. We would aim to have the agreement settled before the start of the first Monitoring Report period so that the cut-over is clean.</w:t>
      </w:r>
    </w:p>
    <w:p w14:paraId="7FACFF39" w14:textId="77777777" w:rsidR="00C44D41" w:rsidRDefault="00000000">
      <w:r>
        <w:t>Happy to schedule the call at your convenience.</w:t>
      </w:r>
    </w:p>
    <w:p w14:paraId="2AC81BC7" w14:textId="77777777" w:rsidR="00C44D41" w:rsidRDefault="00C44D41"/>
    <w:p w14:paraId="59DE74B0" w14:textId="77777777" w:rsidR="00C44D41" w:rsidRDefault="00000000">
      <w:r>
        <w:t>Max Lavine</w:t>
      </w:r>
    </w:p>
    <w:p w14:paraId="462F6425" w14:textId="77777777" w:rsidR="00C44D41" w:rsidRDefault="00000000">
      <w:r>
        <w:t>Carbon Protocol and Verification Lead</w:t>
      </w:r>
    </w:p>
    <w:p w14:paraId="2321C1F9" w14:textId="77777777" w:rsidR="00C44D41" w:rsidRDefault="00000000">
      <w:r>
        <w:t>Charm Industrial</w:t>
      </w:r>
    </w:p>
    <w:p w14:paraId="611B41D3" w14:textId="77777777" w:rsidR="00C44D41" w:rsidRDefault="00000000">
      <w:r>
        <w:t>max@charmindustrial.com</w:t>
      </w:r>
    </w:p>
    <w:sectPr w:rsidR="00C44D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403883">
    <w:abstractNumId w:val="8"/>
  </w:num>
  <w:num w:numId="2" w16cid:durableId="899487780">
    <w:abstractNumId w:val="6"/>
  </w:num>
  <w:num w:numId="3" w16cid:durableId="407849630">
    <w:abstractNumId w:val="5"/>
  </w:num>
  <w:num w:numId="4" w16cid:durableId="1961262769">
    <w:abstractNumId w:val="4"/>
  </w:num>
  <w:num w:numId="5" w16cid:durableId="505904757">
    <w:abstractNumId w:val="7"/>
  </w:num>
  <w:num w:numId="6" w16cid:durableId="310141310">
    <w:abstractNumId w:val="3"/>
  </w:num>
  <w:num w:numId="7" w16cid:durableId="1414666445">
    <w:abstractNumId w:val="2"/>
  </w:num>
  <w:num w:numId="8" w16cid:durableId="349918238">
    <w:abstractNumId w:val="1"/>
  </w:num>
  <w:num w:numId="9" w16cid:durableId="74456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F4C"/>
    <w:rsid w:val="0029639D"/>
    <w:rsid w:val="00326F90"/>
    <w:rsid w:val="00364D7E"/>
    <w:rsid w:val="00AA1D8D"/>
    <w:rsid w:val="00AF5166"/>
    <w:rsid w:val="00B47730"/>
    <w:rsid w:val="00C44D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BADE2"/>
  <w14:defaultImageDpi w14:val="300"/>
  <w15:docId w15:val="{9765E614-6FE4-0F41-ABDA-25C1BD41D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1581</Words>
  <Characters>9013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2</cp:revision>
  <dcterms:created xsi:type="dcterms:W3CDTF">2013-12-23T23:15:00Z</dcterms:created>
  <dcterms:modified xsi:type="dcterms:W3CDTF">2026-05-04T22:14:00Z</dcterms:modified>
  <cp:category/>
</cp:coreProperties>
</file>