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40"/>
        </w:rPr>
        <w:t>Biochar in Anaerobic Digesters</w:t>
      </w:r>
    </w:p>
    <w:p>
      <w:pPr>
        <w:spacing w:after="200"/>
      </w:pPr>
      <w:r>
        <w:rPr>
          <w:i/>
          <w:sz w:val="26"/>
        </w:rPr>
        <w:t>MRV Position on the AZ / Vanguard Pathway</w:t>
      </w:r>
    </w:p>
    <w:p>
      <w:pPr>
        <w:spacing w:after="40"/>
      </w:pPr>
      <w:r>
        <w:rPr>
          <w:color w:val="555555"/>
          <w:sz w:val="20"/>
        </w:rPr>
        <w:t>Charm Industrial — MRV Team</w:t>
      </w:r>
    </w:p>
    <w:p>
      <w:pPr>
        <w:spacing w:after="40"/>
      </w:pPr>
      <w:r>
        <w:rPr>
          <w:color w:val="555555"/>
          <w:sz w:val="20"/>
        </w:rPr>
        <w:t>May 4, 2026</w:t>
      </w:r>
    </w:p>
    <w:p>
      <w:pPr>
        <w:spacing w:after="40"/>
      </w:pPr>
      <w:r>
        <w:rPr>
          <w:color w:val="555555"/>
          <w:sz w:val="20"/>
        </w:rPr>
        <w:t>Prepared by Max Lavine</w:t>
      </w:r>
    </w:p>
    <w:p>
      <w:pPr>
        <w:spacing w:after="40"/>
      </w:pPr>
      <w:r>
        <w:rPr>
          <w:color w:val="555555"/>
          <w:sz w:val="20"/>
        </w:rPr>
        <w:t>Audience: Sebastian, Brian, Aaron, Harris (FYI Peter, Tim, Ed)</w:t>
      </w:r>
    </w:p>
    <w:p>
      <w:pPr>
        <w:spacing w:before="360" w:after="120"/>
      </w:pPr>
      <w:r>
        <w:rPr>
          <w:b/>
          <w:sz w:val="32"/>
        </w:rPr>
        <w:t>Purpose</w:t>
      </w:r>
    </w:p>
    <w:p>
      <w:r>
        <w:t>This brief surfaces a constraint on the AZ / Vanguard biochar-in-AD play that hasn't been explicitly named yet: whether Charm pursues commercial sale only, or attempts to retain biochar CDR rights on char that has passed through an anaerobic digester. The two paths look similar in conversation and in current external-facing materials, but they have very different operational, scientific, and MRV-evidence implications. Ahead of testing kits arriving from Vanguard and the May Friday meeting with AZ's sustainability-innovation lead, MRV's recommendation is that we close on (a) — commercial sale only — for the AZ critical path, and treat (b) — stacked CDR — as a multi-quarter R&amp;D program rather than a near-term commercial promise.</w:t>
      </w:r>
    </w:p>
    <w:p>
      <w:pPr>
        <w:spacing w:before="360" w:after="120"/>
      </w:pPr>
      <w:r>
        <w:rPr>
          <w:b/>
          <w:sz w:val="32"/>
        </w:rPr>
        <w:t>Executive Summary</w:t>
      </w:r>
    </w:p>
    <w:p>
      <w:r>
        <w:t>Three live policy options for biochar routed into a Vanguard digester. Only one is being explicitly discussed in conversation; the team's external materials are quietly assuming a different one.</w:t>
      </w:r>
    </w:p>
    <w:p>
      <w:r>
        <w:rPr>
          <w:b/>
        </w:rPr>
        <w:t xml:space="preserve">(a) Commercial-only. </w:t>
      </w:r>
      <w:r>
        <w:t>Sell char to Vanguard at a $/MMBTU premium for methane uplift. No CDR claim retained on the AD-routed fraction. Cleanest path, fastest to revenue, no new MRV burden.</w:t>
      </w:r>
    </w:p>
    <w:p>
      <w:r>
        <w:rPr>
          <w:b/>
        </w:rPr>
        <w:t xml:space="preserve">(b) Commercial sale plus retained biochar CDR via the soil-applied digestate end-fate. </w:t>
      </w:r>
      <w:r>
        <w:t>Char goes to Vanguard, digestate goes to fields, Charm claims biochar CDR on the stable carbon fraction under existing Isometric protocols. This is what the Vanguard 2-pager and Aaron's tech brief currently imply.</w:t>
      </w:r>
    </w:p>
    <w:p>
      <w:r>
        <w:rPr>
          <w:b/>
        </w:rPr>
        <w:t xml:space="preserve">(c) (b) plus an avoided-methane / super-pollutant credit stacked on top of biochar CDR. </w:t>
      </w:r>
      <w:r>
        <w:t>Matt Plasek's pitch. Multi-year Isometric protocol work, double-counting issues against Vanguard's RIN/LCFS revenue, and not on the critical path.</w:t>
      </w:r>
    </w:p>
    <w:p>
      <w:r>
        <w:t>The team has converged on (b) in writing without converging on it in conversation. Sebastian asked Max about it directly in DM on April 24; the Vanguard 2-pager (April 22) and Aaron's Technical Brief v4 (April 21) both pre-claim CDR retention. The internal AD/RNG White Paper, by contrast, frames AD/RNG as the release valve for off-spec char that doesn't meet the soil-CDR permanence bar — closer to (a) in spirit.</w:t>
      </w:r>
    </w:p>
    <w:p>
      <w:r>
        <w:t>Three open scientific and operational questions sit between us and a defensible (b) claim: char mass balance through the digester, post-AD char integrity, and char-amended digestate land-application safety. None has been answered for Charm char at production scale. A fourth issue — the one that drives MRV's recommendation — is that the BSSE v1.2 evidence chain we are already escalating with Isometric becomes structurally harder, not easier, when char travels via digestate.</w:t>
      </w:r>
    </w:p>
    <w:p>
      <w:r>
        <w:rPr>
          <w:b/>
        </w:rPr>
        <w:t xml:space="preserve">Recommendation: </w:t>
      </w:r>
      <w:r>
        <w:t>pitch and price the AZ / Vanguard partnership as commercial-only. Park CDR retention as an R&amp;D objective. Revisit only after pilot data and an Isometric-aligned digestate evidence framework both exist.</w:t>
      </w:r>
    </w:p>
    <w:p>
      <w:pPr>
        <w:spacing w:before="360" w:after="120"/>
      </w:pPr>
      <w:r>
        <w:rPr>
          <w:b/>
          <w:sz w:val="32"/>
        </w:rPr>
        <w:t>The Three Options on the Table</w:t>
      </w:r>
    </w:p>
    <w:p>
      <w:pPr>
        <w:spacing w:before="280" w:after="80"/>
      </w:pPr>
      <w:r>
        <w:rPr>
          <w:b/>
          <w:sz w:val="26"/>
        </w:rPr>
        <w:t>Option (a) — Commercial-only sale</w:t>
      </w:r>
    </w:p>
    <w:p>
      <w:r>
        <w:t>Char sold to Vanguard at a price premium reflecting the methane uplift it delivers. Vanguard captures the $/MMBTU value (RNG + RIN + LCFS in California-bound deliveries). Charm books the char revenue and claims no CDR on the AD-routed mass. Bio-oil CDR continues unaffected. This is the path Harris is implicitly describing in #char-industry when he frames Anew's 80-site footprint as the next-scale opportunity, and it is consistent with the AD/RNG White Paper's framing of the pathway as a commercial outlet for char that doesn't meet the soil-CDR permanence threshold.</w:t>
      </w:r>
    </w:p>
    <w:p>
      <w:pPr>
        <w:spacing w:before="280" w:after="80"/>
      </w:pPr>
      <w:r>
        <w:rPr>
          <w:b/>
          <w:sz w:val="26"/>
        </w:rPr>
        <w:t>Option (b) — Commercial sale plus retained biochar CDR via digestate</w:t>
      </w:r>
    </w:p>
    <w:p>
      <w:r>
        <w:t>Char sold to Vanguard, but contractually Charm retains the right to claim biochar CDR on the stable carbon fraction once the digestate is land-applied. This requires demonstrating: (1) the carbon survives AD with permanence intact, (2) we can quantify how much char ends up in applied digestate vs. lost to the digester, and (3) the resulting char-laden digestate is a safe and acceptable agricultural product. Routes the credit through Isometric's Biochar Storage in Soil Environments v1.2 (BSSE v1.2) — the same protocol we are currently fighting Isometric over.</w:t>
      </w:r>
    </w:p>
    <w:p>
      <w:pPr>
        <w:spacing w:before="280" w:after="80"/>
      </w:pPr>
      <w:r>
        <w:rPr>
          <w:b/>
          <w:sz w:val="26"/>
        </w:rPr>
        <w:t>Option (c) — (b) plus an avoided-methane stack</w:t>
      </w:r>
    </w:p>
    <w:p>
      <w:r>
        <w:t>Adds a methane-abatement / super-pollutant credit on top of biochar CDR for the RNG uplift biochar produces. Matt Plasek floated this in #mrv-protocol on April 21. Requires Isometric to publish a super-pollutant module that biochar can plug into, and requires resolving double-counting against Vanguard's RIN/LCFS claim on the same RNG molecule. Multi-year work, uncertain landing, not on the critical path. We should track but not invest.</w:t>
      </w:r>
    </w:p>
    <w:p>
      <w:pPr>
        <w:spacing w:before="360" w:after="120"/>
      </w:pPr>
      <w:r>
        <w:rPr>
          <w:b/>
          <w:sz w:val="32"/>
        </w:rPr>
        <w:t>Where the Team Is Currently Signaling (b)</w:t>
      </w:r>
    </w:p>
    <w:p>
      <w:r>
        <w:t>Not loudly discussed in any channel — but it has been written into external-facing material and asked of MRV directly. Three artifacts:</w:t>
      </w:r>
    </w:p>
    <w:p>
      <w:pPr>
        <w:spacing w:before="200" w:after="40"/>
      </w:pPr>
      <w:r>
        <w:rPr>
          <w:b/>
          <w:i/>
          <w:sz w:val="22"/>
        </w:rPr>
        <w:t>Sebastian's April 24 DM to Max</w:t>
      </w:r>
    </w:p>
    <w:p>
      <w:r>
        <w:t>Sebastian wrote: "How much work would it be to get Isometric to give us a thumbs up that we could put biochar in an anaerobic digester and still keep some of the carbon credit claim … This is for a big deal with AstraZeneca." Max's reply: "Hard to answer meaningfully out of hand: probably quite a bit … I wouldn't put my money on it being either quick or easy." This is the clearest articulation of the (b) ask anywhere in the record.</w:t>
      </w:r>
    </w:p>
    <w:p>
      <w:pPr>
        <w:spacing w:before="200" w:after="40"/>
      </w:pPr>
      <w:r>
        <w:rPr>
          <w:b/>
          <w:i/>
          <w:sz w:val="22"/>
        </w:rPr>
        <w:t>The Vanguard 2-pager (April 22, prepared under NDA)</w:t>
      </w:r>
    </w:p>
    <w:p>
      <w:r>
        <w:t>Sent to Vanguard alongside Sebastian's May 3 update. Closing paragraph of page 1: "Charm's biochar is a 200-year permanent carbon dioxide removal (CDR) under Isometric's biochar protocol for soil application. With an AD partner, Charm intends to demonstrate that the carbon storage remains permanent in the biochar even as part of the solid digestate product. Once biochar is shown to improve methane yields while retaining its CDR benefits, a sustainable revenue stack emerges." The phrase "intends to demonstrate" is doing a lot of work — there is no Charm data behind it yet.</w:t>
      </w:r>
    </w:p>
    <w:p>
      <w:pPr>
        <w:spacing w:before="200" w:after="40"/>
      </w:pPr>
      <w:r>
        <w:rPr>
          <w:b/>
          <w:i/>
          <w:sz w:val="22"/>
        </w:rPr>
        <w:t>Aaron's Technical Brief v4 (April 21)</w:t>
      </w:r>
    </w:p>
    <w:p>
      <w:r>
        <w:t>Boxed callout: "For biochar lots meeting applicable carbon permanence thresholds, Charm may retain the right to claim carbon dioxide removal (CDR) credits on the stable carbon fraction subsequently applied to soil via digestate. … Any CDR accounting would be addressed in the commercial agreement." The cleanest written articulation of the (b) operating model.</w:t>
      </w:r>
    </w:p>
    <w:p>
      <w:r>
        <w:t>By contrast, the internal AD/RNG White Paper v5 (April 16) frames the pathway differently: "AD/RNG represent a strategically important offtake pathway … particularly for lots that fall outside the most demanding permanence thresholds required by premium soil CDR markets." That language is closer to (a). The team has not yet aligned across documents on which version of the pitch is policy.</w:t>
      </w:r>
    </w:p>
    <w:p>
      <w:pPr>
        <w:spacing w:before="360" w:after="120"/>
      </w:pPr>
      <w:r>
        <w:rPr>
          <w:b/>
          <w:sz w:val="32"/>
        </w:rPr>
        <w:t>Three Open Questions Before (b) Is a Defensible Claim</w:t>
      </w:r>
    </w:p>
    <w:p>
      <w:pPr>
        <w:spacing w:before="280" w:after="80"/>
      </w:pPr>
      <w:r>
        <w:rPr>
          <w:b/>
          <w:sz w:val="26"/>
        </w:rPr>
        <w:t>Question 1 — Mass balance: how much char ends up in applied digestate?</w:t>
      </w:r>
    </w:p>
    <w:p>
      <w:r>
        <w:t>The most tractable of the three: an engineering and analytical-chemistry problem rather than a research bet. Three sub-problems must be solved.</w:t>
      </w:r>
    </w:p>
    <w:p>
      <w:r>
        <w:rPr>
          <w:b/>
        </w:rPr>
        <w:t xml:space="preserve">Where char physically goes. </w:t>
      </w:r>
      <w:r>
        <w:t>A fraction settles into the digester's inert sludge layer, removed only on multi-year cleanout cycles. The remainder partitions between solid and liquid digestate streams, with relative split governed by digester hydraulics and post-digester separation hardware. Lab numbers will not transfer cleanly to Vanguard's CSTRs — we need a partition study at production scale.</w:t>
      </w:r>
    </w:p>
    <w:p>
      <w:r>
        <w:rPr>
          <w:b/>
        </w:rPr>
        <w:t xml:space="preserve">How to measure char in recovered digestate. </w:t>
      </w:r>
      <w:r>
        <w:t>Charm's wood char is low-ash (per Eurofins), so total ash content is not a good tracer against high-ash food-waste and manure substrate. Plausible approaches: physical separation by particle size and density; thermogravimetric signature of the recalcitrant fraction; isotopic δ¹³C if the char's signature is distinguishable from substrate carbon (typically yes for wood vs. food/manure). A deliberate inert physical tracer added at pyrolysis is technically possible but operationally heavy.</w:t>
      </w:r>
    </w:p>
    <w:p>
      <w:r>
        <w:rPr>
          <w:b/>
        </w:rPr>
        <w:t xml:space="preserve">Tolerance for measurement uncertainty. </w:t>
      </w:r>
      <w:r>
        <w:t>Isometric's BSSE v1.2 already permits application losses if the methodology characterizes them defensibly. The deliverable is a distribution — "X% applied, with Y% measurement uncertainty, Z% conservatively excluded" — not a perfect mass balance.</w:t>
      </w:r>
    </w:p>
    <w:p>
      <w:pPr>
        <w:spacing w:before="280" w:after="80"/>
      </w:pPr>
      <w:r>
        <w:rPr>
          <w:b/>
          <w:sz w:val="26"/>
        </w:rPr>
        <w:t>Question 2 — Has the digester altered the char's carbon content or durability?</w:t>
      </w:r>
    </w:p>
    <w:p>
      <w:r>
        <w:t>The scientific bet, and the question the Vanguard 2-pager waves at when it says Charm "intends to demonstrate that the carbon storage remains permanent in the biochar even as part of the solid digestate product." No one at Charm has measured this on Charm char yet. Honest priors:</w:t>
      </w:r>
    </w:p>
    <w:p>
      <w:r>
        <w:rPr>
          <w:b/>
        </w:rPr>
        <w:t xml:space="preserve">Recalcitrant aromatic carbon </w:t>
      </w:r>
      <w:r>
        <w:t>— the high-permanence fraction — is biologically resistant by definition; it is why H:Corg below 0.5 is the Isometric permanence proxy. It should survive AD. But "should" is a hypothesis, not a measurement.</w:t>
      </w:r>
    </w:p>
    <w:p>
      <w:r>
        <w:rPr>
          <w:b/>
        </w:rPr>
        <w:t xml:space="preserve">Labile carbon fraction </w:t>
      </w:r>
      <w:r>
        <w:t>— the part Isometric already discounts via the H:Corg cap — is the part most likely to be partially mineralized in AD. From a CDR-claim perspective this is neutral-to-helpful, since Isometric already excludes it.</w:t>
      </w:r>
    </w:p>
    <w:p>
      <w:r>
        <w:rPr>
          <w:b/>
        </w:rPr>
        <w:t xml:space="preserve">Surface chemistry. </w:t>
      </w:r>
      <w:r>
        <w:t>AD will adsorb NH₄⁺, VFAs, and microbial biofilm onto the char surface. This will confound any H:Corg measurement on recovered char unless the sample is washed, dried, and re-tested. The post-AD H:Corg measurement protocol is itself an open question — not just "what's the result," but "how do you measure it without artifacts."</w:t>
      </w:r>
    </w:p>
    <w:p>
      <w:r>
        <w:rPr>
          <w:b/>
        </w:rPr>
        <w:t xml:space="preserve">Sanei-method (random reflectance) inertinite measurements </w:t>
      </w:r>
      <w:r>
        <w:t>should in principle be unaffected by surface adsorption, since they target maceral structure. But Saumya was explicit in April 2025 that Charm should not lean on inertinite claims yet — the methodology is contested in the broader biochar community. Sanei is not a defensible fallback today.</w:t>
      </w:r>
    </w:p>
    <w:p>
      <w:r>
        <w:t>The actual experimental path is straightforward: pre/post characterization of paired Charm-lot samples, with one half routed through Vanguard's bench-scale AD for the full HRT, recovered from solid plus liquid digestate fractions, and re-characterized. Charm has not done this. Vanguard's incoming testing kits target methane uplift, not char-permanence persistence — these are different experiments. We need both before claiming (b).</w:t>
      </w:r>
    </w:p>
    <w:p>
      <w:pPr>
        <w:spacing w:before="280" w:after="80"/>
      </w:pPr>
      <w:r>
        <w:rPr>
          <w:b/>
          <w:sz w:val="26"/>
        </w:rPr>
        <w:t>Question 3 — Is char-laden digestate safe to land-apply?</w:t>
      </w:r>
    </w:p>
    <w:p>
      <w:r>
        <w:t>Trends positive on the published literature, but the regulatory pathway is not yet defined.</w:t>
      </w:r>
    </w:p>
    <w:p>
      <w:r>
        <w:rPr>
          <w:b/>
        </w:rPr>
        <w:t xml:space="preserve">Net agronomic effects </w:t>
      </w:r>
      <w:r>
        <w:t>in the AD/RNG White Paper section on digestate co-benefits: improved nutrient retention (N, P, K), reduced NH₃ volatilization on application, reduced odor, increased SOC accumulation. Multiple published studies cited.</w:t>
      </w:r>
    </w:p>
    <w:p>
      <w:r>
        <w:rPr>
          <w:b/>
        </w:rPr>
        <w:t xml:space="preserve">Pathogens and heavy metals </w:t>
      </w:r>
      <w:r>
        <w:t>are addressed in existing AD regulatory frameworks (EPA 503 / Class B biosolids analog, state-level nutrient management plans) for digestate-only. Adding wood-derived biochar (clean feedstock, low metals) does not worsen these profiles and likely improves heavy-metal binding capacity.</w:t>
      </w:r>
    </w:p>
    <w:p>
      <w:r>
        <w:rPr>
          <w:b/>
        </w:rPr>
        <w:t xml:space="preserve">Application rate and runoff. </w:t>
      </w:r>
      <w:r>
        <w:t>Char-amended digestate is denser in carbon per unit volume but applied at digestate-governed rates (not biochar-direct rates of 1–4 t/acre). Application caps will continue to be governed by N-P-K loading, not C loading. Expected to be operationally fine.</w:t>
      </w:r>
    </w:p>
    <w:p>
      <w:r>
        <w:rPr>
          <w:b/>
        </w:rPr>
        <w:t xml:space="preserve">The unknown: </w:t>
      </w:r>
      <w:r>
        <w:t>char-amended digestate is not, to MRV's knowledge, a regulated product category in any US jurisdiction today. At pilot scale, Vanguard will sell it under existing digestate rules and the char rides along. At scale, this is a state-by-state regulatory exposure that warrants Colleene's input before commercial commitments are made.</w:t>
      </w:r>
    </w:p>
    <w:p>
      <w:pPr>
        <w:spacing w:before="360" w:after="120"/>
      </w:pPr>
      <w:r>
        <w:rPr>
          <w:b/>
          <w:sz w:val="32"/>
        </w:rPr>
        <w:t>The Hidden Cost: BSSE v1.2 Evidence Chain Becomes Worse, Not Better</w:t>
      </w:r>
    </w:p>
    <w:p>
      <w:r>
        <w:t>This is the load-bearing point and it is what drives MRV's recommendation. Charm is currently in active back-and-forth with Isometric over BSSE v1.2 evidence requirements for direct-to-field char: wetted-storage requirements, per-delivery photo essays with metadata, application records kept by spreaders Charm does not directly control. This work is being escalated; it is not resolved. Forced adoption of BSSE v1.2 is a November deadline.</w:t>
      </w:r>
    </w:p>
    <w:p>
      <w:r>
        <w:t>The (b) pathway inherits all of those evidence problems and adds new ones:</w:t>
      </w:r>
    </w:p>
    <w:p>
      <w:pPr>
        <w:pStyle w:val="ListBullet"/>
      </w:pPr>
      <w:r>
        <w:rPr>
          <w:b/>
        </w:rPr>
        <w:t xml:space="preserve">A second custodian (Vanguard) </w:t>
      </w:r>
      <w:r>
        <w:t>sits between Charm and the soil. Custody-chain documentation must extend through Vanguard's operations.</w:t>
      </w:r>
    </w:p>
    <w:p>
      <w:pPr>
        <w:pStyle w:val="ListBullet"/>
      </w:pPr>
      <w:r>
        <w:rPr>
          <w:b/>
        </w:rPr>
        <w:t xml:space="preserve">Char becomes visually unidentifiable </w:t>
      </w:r>
      <w:r>
        <w:t>once mixed into wet digestate. Photo-essay-with-metadata requirements designed for char piles do not translate.</w:t>
      </w:r>
    </w:p>
    <w:p>
      <w:pPr>
        <w:pStyle w:val="ListBullet"/>
      </w:pPr>
      <w:r>
        <w:rPr>
          <w:b/>
        </w:rPr>
        <w:t xml:space="preserve">Application records become Vanguard's responsibility </w:t>
      </w:r>
      <w:r>
        <w:t>or the responsibility of the contracted farms Vanguard serves — neither under Charm's direct operational control.</w:t>
      </w:r>
    </w:p>
    <w:p>
      <w:pPr>
        <w:pStyle w:val="ListBullet"/>
      </w:pPr>
      <w:r>
        <w:rPr>
          <w:b/>
        </w:rPr>
        <w:t xml:space="preserve">Per-batch digestate composition tracking </w:t>
      </w:r>
      <w:r>
        <w:t>must trace back to specific Charm char lots, across what may be weeks of digester residence and intermediate storage.</w:t>
      </w:r>
    </w:p>
    <w:p>
      <w:r>
        <w:t>The (b) policy is not a clever workaround for the BSSE v1.2 fight. It is the same fight, made structurally harder by an extra hop and a wet, mixed-substrate medium between Charm and the field. The MRV burden Charm would need to design, negotiate with Isometric, and operate at Vanguard scale (and any future digester partner scale) is substantial.</w:t>
      </w:r>
    </w:p>
    <w:p>
      <w:r>
        <w:t>The roughly $120/t biochar credit value forfeited by going (a) starts to look cheap measured against the cost of building, defending, and operating a digestate-specific evidence framework.</w:t>
      </w:r>
    </w:p>
    <w:p>
      <w:pPr>
        <w:spacing w:before="360" w:after="120"/>
      </w:pPr>
      <w:r>
        <w:rPr>
          <w:b/>
          <w:sz w:val="32"/>
        </w:rPr>
        <w:t>Recommendation</w:t>
      </w:r>
    </w:p>
    <w:p>
      <w:r>
        <w:rPr>
          <w:b/>
        </w:rPr>
        <w:t xml:space="preserve">Pitch the AZ / Vanguard partnership as commercial-only — Option (a). </w:t>
      </w:r>
      <w:r>
        <w:t>Price for the methane uplift Vanguard will monetize via RNG / RIN / LCFS. Do not contractually retain CDR rights on the AD-routed char. Update the Vanguard 2-pager and Aaron's tech brief to align with this position before they go further externally — the current "Charm intends to demonstrate" / "Charm may retain the right to claim CDR credits" language commits MRV to an R&amp;D and policy program we have not scoped, costed, or sequenced.</w:t>
      </w:r>
    </w:p>
    <w:p>
      <w:r>
        <w:rPr>
          <w:b/>
        </w:rPr>
        <w:t xml:space="preserve">Park (b) as a research and policy objective. </w:t>
      </w:r>
      <w:r>
        <w:t>Treat the Vanguard testing-kit work as a technical entry point but scope it explicitly to include pre/post char characterization, not just methane uplift. Do not attach (b) to AZ critical-path commitments.</w:t>
      </w:r>
    </w:p>
    <w:p>
      <w:r>
        <w:rPr>
          <w:b/>
        </w:rPr>
        <w:t xml:space="preserve">Skip (c) entirely on the critical path. </w:t>
      </w:r>
      <w:r>
        <w:t>If Plasek and Isometric independently develop a super-pollutant module that biochar can plug into, Charm plugs in. We do not lead this work.</w:t>
      </w:r>
    </w:p>
    <w:p>
      <w:pPr>
        <w:spacing w:before="200" w:after="40"/>
      </w:pPr>
      <w:r>
        <w:rPr>
          <w:b/>
          <w:i/>
          <w:sz w:val="22"/>
        </w:rPr>
        <w:t>Conditions for revisiting (b)</w:t>
      </w:r>
    </w:p>
    <w:p>
      <w:r>
        <w:t>Two gates, both required:</w:t>
      </w:r>
    </w:p>
    <w:p>
      <w:pPr>
        <w:pStyle w:val="ListNumber"/>
      </w:pPr>
      <w:r>
        <w:t>Paired pre/post Charm-char characterization through a production-equivalent AD demonstrates that high-permanence carbon survives with measurable integrity, and that the measurement methodology is itself defensible.</w:t>
      </w:r>
    </w:p>
    <w:p>
      <w:pPr>
        <w:pStyle w:val="ListNumber"/>
      </w:pPr>
      <w:r>
        <w:t>BSSE v1.2 (or a successor protocol version) reaches a stable evidence framework that can absorb digestate-routed char without imposing new per-delivery / per-batch tracking burdens that exceed the credit value at stake.</w:t>
      </w:r>
    </w:p>
    <w:p>
      <w:r>
        <w:rPr>
          <w:b/>
        </w:rPr>
        <w:t>Until both gates are met, (a) is the policy.</w:t>
      </w:r>
    </w:p>
    <w:p>
      <w:pPr>
        <w:spacing w:before="360" w:after="120"/>
      </w:pPr>
      <w:r>
        <w:rPr>
          <w:b/>
          <w:sz w:val="32"/>
        </w:rPr>
        <w:t>Next Steps</w:t>
      </w:r>
    </w:p>
    <w:p>
      <w:r>
        <w:t>Short list, owners proposed:</w:t>
      </w:r>
    </w:p>
    <w:p>
      <w:pPr>
        <w:pStyle w:val="ListBullet"/>
      </w:pPr>
      <w:r>
        <w:rPr>
          <w:b/>
        </w:rPr>
        <w:t xml:space="preserve">Sebastian, Brian, Aaron — </w:t>
      </w:r>
      <w:r>
        <w:t>align on (a) before the May Friday AZ sustainability-innovation-lead meeting. Update the Vanguard 2-pager and tech brief CDR-rights language to remove forward-looking CDR retention claims.</w:t>
      </w:r>
    </w:p>
    <w:p>
      <w:pPr>
        <w:pStyle w:val="ListBullet"/>
      </w:pPr>
      <w:r>
        <w:rPr>
          <w:b/>
        </w:rPr>
        <w:t xml:space="preserve">Brian — </w:t>
      </w:r>
      <w:r>
        <w:t>confirm scope of Vanguard testing kits. If they only address methane uplift, propose adding a paired-sample pre/post char characterization arm. The marginal cost is low; the strategic information value for any future (b) decision is high.</w:t>
      </w:r>
    </w:p>
    <w:p>
      <w:pPr>
        <w:pStyle w:val="ListBullet"/>
      </w:pPr>
      <w:r>
        <w:rPr>
          <w:b/>
        </w:rPr>
        <w:t xml:space="preserve">MRV (Max) — </w:t>
      </w:r>
      <w:r>
        <w:t>short follow-up to Sebastian on the April 24 DM exchange, closing the loop with the position in this brief.</w:t>
      </w:r>
    </w:p>
    <w:p>
      <w:pPr>
        <w:pStyle w:val="ListBullet"/>
      </w:pPr>
      <w:r>
        <w:rPr>
          <w:b/>
        </w:rPr>
        <w:t xml:space="preserve">Colleene — </w:t>
      </w:r>
      <w:r>
        <w:t>flag char-amended digestate as a future regulatory-exposure question worth scoping at low priority. Not blocking near-term work.</w:t>
      </w:r>
    </w:p>
    <w:p>
      <w:r>
        <w:t>This is not a "no" on the digester opportunity. It is a "yes on the commercial side, not yet on the credit side." Done well, (a) preserves all the optionality of (b) — including the option to convert later if the science and the evidence framework both come together.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