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8"/>
          <w:szCs w:val="28"/>
          <w:rtl w:val="0"/>
        </w:rPr>
        <w:t xml:space="preserve">Ethanol Dilution Method for D-Series Bio-Oil: Carbon Overstatement Assessment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To: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Isometric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From: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Max Lavine, Carbon Protocol &amp; Verification Lead, Charm Industrial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="264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Date: </w:t>
      </w:r>
      <w:r w:rsidDel="00000000" w:rsidR="00000000" w:rsidRPr="00000000">
        <w:rPr>
          <w:rFonts w:ascii="Arial" w:cs="Arial" w:eastAsia="Arial" w:hAnsi="Arial"/>
          <w:rtl w:val="0"/>
        </w:rPr>
        <w:t xml:space="preserve">October 15,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f4e79" w:space="2" w:sz="6" w:val="single"/>
        </w:pBdr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Question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line="264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Does the ethanol dilution method overstate the carbon content of D-series bio-oil, and therefore CO₂e stored?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1f4e79" w:space="2" w:sz="6" w:val="single"/>
        </w:pBdr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Charm’s Position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="264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No. Across four paired samples, ethanol-corrected carbon was lower than the undiluted result in every pair and averaged 5.8 percentage points lower. At the 84th-percentile bound applied in Isometric Standard v2.0 §3.7.2, the difference remains negative (−3.0 points).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bottom w:color="1f4e79" w:space="2" w:sz="6" w:val="single"/>
        </w:pBdr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Relation to PDD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="264" w:lineRule="auto"/>
        <w:ind w:left="360" w:right="36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“The Bio-Oil is sampled for CHN testing by an ISO accredited laboratory after the completion of Sparging. The % C reported by the laboratory is multiplied by the Mass of Bio-Oil Injected. That value is multiplied by 3.67 or 44/12 to convert the carbon content to CO2e.”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(PDD v1.12, Section B, Gross CO2e Sequestration)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00" w:line="264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The dilution method changes two steps: laboratory sample preparation (absolute ethanol added at a weighed fraction) and derivation of the reported % C (blend result corrected for that fraction). The sampling point, laboratory CHN analysis, Mass of Bio-Oil Injected and the 44/12 conversion are unchanged.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1f4e79" w:space="2" w:sz="6" w:val="single"/>
        </w:pBdr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1. Paired Results (ASTM D5291, SGS St. Rose)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1700"/>
        <w:gridCol w:w="2000"/>
        <w:gridCol w:w="1500"/>
        <w:gridCol w:w="2060"/>
        <w:tblGridChange w:id="0">
          <w:tblGrid>
            <w:gridCol w:w="2100"/>
            <w:gridCol w:w="1700"/>
            <w:gridCol w:w="2000"/>
            <w:gridCol w:w="1500"/>
            <w:gridCol w:w="206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Undiluted C, % (m/m)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Diluted C, % (m/m), ethanol-corrected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Difference (points)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SGS report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9-2026-W1-DC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−9.1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SR26-05444.002; SR26-05444.003 Reissue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9-2026-W3-DC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40.6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−1.0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SR26-05714.001; SR26-05714.002 Reissue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9-2026-W4-DC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18"/>
                <w:szCs w:val="18"/>
                <w:rtl w:val="0"/>
              </w:rPr>
              <w:t xml:space="preserve">−10.7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SR26-05820.002; SR26-05820.001 Reissue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10-2026-W1-DC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18"/>
                <w:szCs w:val="18"/>
                <w:rtl w:val="0"/>
              </w:rPr>
              <w:t xml:space="preserve">−2.5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SR26-05962.001; .002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Mean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38.8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33.0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8"/>
                <w:szCs w:val="18"/>
                <w:rtl w:val="0"/>
              </w:rPr>
              <w:t xml:space="preserve">−5.8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spacing w:after="100" w:before="80" w:lineRule="auto"/>
        <w:rPr/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Diluted samples were blended at 14.9–15.0 wt% absolute ethanol. Carbon was corrected run by run using 52.14 % C for ethanol. SGS’s dilution worksheet reports, for each run, the weighed ethanol fraction, measured blend carbon and corrected carbon.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bottom w:color="1f4e79" w:space="2" w:sz="6" w:val="single"/>
        </w:pBdr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 Upper Bound on Overstatement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00" w:line="264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Overstatement would appear as a positive difference (diluted − undiluted). The question is how large that difference could plausibly be, given the four pairs. Isometric’s threshold for a conservative value: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00" w:line="264" w:lineRule="auto"/>
        <w:ind w:left="360" w:right="3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sz w:val="20"/>
          <w:szCs w:val="20"/>
          <w:rtl w:val="0"/>
        </w:rPr>
        <w:t xml:space="preserve">“Isometric recommends that the value used in the Removal or Reduction calculation be either ≤16th or ≥84th percentile, depending on which one yields a more Conservative estimate of Removal or Reduction.”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(Isometric Standard v2.0 §3.7.2)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360"/>
        <w:gridCol w:w="4000"/>
        <w:tblGridChange w:id="0">
          <w:tblGrid>
            <w:gridCol w:w="5360"/>
            <w:gridCol w:w="400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Statistic (difference = diluted − undiluted, n = 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Value (points of C)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Mean difference (standard error)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−5.8 (2.4)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84th-percentile upper bound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−3.0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spacing w:after="100" w:before="100" w:line="264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Diluted results were lower in all 4 pairs. The 84th-percentile bound is the mean difference plus the 84th-percentile t-value for three degrees of freedom times the standard error (−5.825 + 1.189 × 2.395 = −2.98).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The bound is below zero: at the percentile §3.7.2 sets for a Conservative estimate, ethanol-corrected carbon does not exceed undiluted carbon.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bottom w:color="1f4e79" w:space="2" w:sz="6" w:val="single"/>
        </w:pBdr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3. Accuracy Against a Homogeneous Reference Oil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00" w:line="264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Charm’s validation on AECN oil, which can be measured neat, blended ethanol at 33.38 wt%: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00" w:line="264" w:lineRule="auto"/>
        <w:ind w:left="360" w:right="36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“The average carbon content for each method, Figure 2, differs by only 0.22%. Analysis via t-test showed that the 95% confidence interval was -0.338% to +0.778%.”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(Justification for MRV analysis of D-series oil via ethanol dilution, “Validation of CHN Analysis With Ethanol Dilution”)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00" w:line="264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Neat AECN averaged 42.62 % C and diluted AECN 42.40 % C, so the interval is for neat minus diluted. The largest overstatement by the diluted method consistent with that interval is 0.34 points.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bottom w:color="1f4e79" w:space="2" w:sz="6" w:val="single"/>
        </w:pBdr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4. Repeatability on D-Series Oil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3630"/>
        <w:gridCol w:w="3630"/>
        <w:tblGridChange w:id="0">
          <w:tblGrid>
            <w:gridCol w:w="2100"/>
            <w:gridCol w:w="3630"/>
            <w:gridCol w:w="363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Undiluted runs, range (n = 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Ethanol-corrected runs, range (n = 3, all runs)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3E">
            <w:pPr>
              <w:jc w:val="left"/>
              <w:rPr>
                <w:rFonts w:ascii="Arial" w:cs="Arial" w:eastAsia="Arial" w:hAnsi="Arial"/>
                <w:b w:val="0"/>
                <w:bC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9-2026-W1-DC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25.4 – 55.8 %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31.8 – 33.7 % 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41">
            <w:pPr>
              <w:jc w:val="left"/>
              <w:rPr>
                <w:rFonts w:ascii="Arial" w:cs="Arial" w:eastAsia="Arial" w:hAnsi="Arial"/>
                <w:b w:val="0"/>
                <w:bC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9-2026-W3-DC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21.9 – 52.3 %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40.3 – 43.8 % 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9-2026-W4-DC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19.8 – 50.6 %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23.5 – 25.6 % 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10-2026-W1-DC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20.6 – 48.8 %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0.0" w:type="dxa"/>
              <w:left w:w="90.0" w:type="dxa"/>
              <w:bottom w:w="50.0" w:type="dxa"/>
              <w:right w:w="90.0" w:type="dxa"/>
            </w:tcMar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30.9 – 34.7 % 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100" w:before="100" w:line="264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Undiluted runs on the same sample divide between a low-carbon and a high-carbon group, consistent with each 0.1 g subsample drawing mainly one phase. SGS noted on both 9-2026-W4-DC reports: “Please Note - Samples Are Predominantly Water.” Ethanol evaporation between blending and analysis would lower the corrected value, by 0.20–0.32 points per wt% of ethanol lost.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bottom w:color="1f4e79" w:space="2" w:sz="6" w:val="single"/>
        </w:pBdr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Requested Confirmation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00" w:line="264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Charm requests that Isometric confirm the ethanol dilution method is acceptable for CHN determination of D-series bio-oil for MRV.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