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89DB33" w14:textId="6B93FA2C" w:rsidR="00450052" w:rsidRDefault="00000000">
      <w:pPr>
        <w:spacing w:after="40"/>
      </w:pPr>
      <w:r>
        <w:rPr>
          <w:rFonts w:ascii="Calibri" w:hAnsi="Calibri"/>
          <w:b/>
          <w:sz w:val="36"/>
        </w:rPr>
        <w:t>CHARM INDUSTRIAL</w:t>
      </w:r>
    </w:p>
    <w:p w14:paraId="63AAE6DA" w14:textId="77777777" w:rsidR="00450052" w:rsidRDefault="00000000">
      <w:r>
        <w:rPr>
          <w:rFonts w:ascii="Calibri" w:hAnsi="Calibri"/>
          <w:sz w:val="26"/>
        </w:rPr>
        <w:t>SAF Bio-Oil Co-Processing Life-Cycle Assessment: Methodology Overview</w:t>
      </w:r>
    </w:p>
    <w:p w14:paraId="2E67234C" w14:textId="77777777" w:rsidR="00450052" w:rsidRDefault="00000000">
      <w:pPr>
        <w:spacing w:after="40"/>
      </w:pPr>
      <w:r>
        <w:rPr>
          <w:rFonts w:ascii="Calibri" w:hAnsi="Calibri"/>
          <w:b/>
        </w:rPr>
        <w:t>Date: September 2, 2026</w:t>
      </w:r>
    </w:p>
    <w:p w14:paraId="45C1D5E1" w14:textId="77777777" w:rsidR="00450052" w:rsidRDefault="00000000">
      <w:pPr>
        <w:spacing w:after="40"/>
      </w:pPr>
      <w:r>
        <w:rPr>
          <w:rFonts w:ascii="Calibri" w:hAnsi="Calibri"/>
          <w:b/>
        </w:rPr>
        <w:t>From: Max Lavine, Carbon Protocol and Verification Lead, Charm Industrial</w:t>
      </w:r>
    </w:p>
    <w:p w14:paraId="3836E637" w14:textId="77777777" w:rsidR="00450052" w:rsidRDefault="00000000">
      <w:pPr>
        <w:spacing w:after="280"/>
      </w:pPr>
      <w:r>
        <w:rPr>
          <w:rFonts w:ascii="Calibri" w:hAnsi="Calibri"/>
          <w:b/>
        </w:rPr>
        <w:t>Re: Introduction to Charm’s bio-oil co-processing SAF life-cycle assessment model</w:t>
      </w:r>
    </w:p>
    <w:p w14:paraId="2D2A9EC7" w14:textId="77777777" w:rsidR="00450052" w:rsidRDefault="00000000">
      <w:pPr>
        <w:pStyle w:val="Heading1"/>
        <w:spacing w:before="280" w:after="120"/>
      </w:pPr>
      <w:r>
        <w:rPr>
          <w:rFonts w:ascii="Calibri" w:hAnsi="Calibri"/>
          <w:color w:val="2E74B5"/>
          <w:sz w:val="30"/>
        </w:rPr>
        <w:t>Purpose</w:t>
      </w:r>
    </w:p>
    <w:p w14:paraId="571A071E" w14:textId="3AF6C542" w:rsidR="00450052" w:rsidRDefault="00000000">
      <w:pPr>
        <w:spacing w:after="160"/>
      </w:pPr>
      <w:r>
        <w:rPr>
          <w:rFonts w:ascii="Calibri" w:hAnsi="Calibri"/>
        </w:rPr>
        <w:t xml:space="preserve">Charm uses the SAF Bio-Oil Co-Processing LCA workbook to estimate a well-to-wake carbon intensity for sustainable aviation fuel (SAF) </w:t>
      </w:r>
      <w:r w:rsidR="00540A75">
        <w:rPr>
          <w:rFonts w:ascii="Calibri" w:hAnsi="Calibri"/>
        </w:rPr>
        <w:t xml:space="preserve">EACs </w:t>
      </w:r>
      <w:r>
        <w:rPr>
          <w:rFonts w:ascii="Calibri" w:hAnsi="Calibri"/>
        </w:rPr>
        <w:t xml:space="preserve">produced by co-processing Charm’s </w:t>
      </w:r>
      <w:proofErr w:type="gramStart"/>
      <w:r>
        <w:rPr>
          <w:rFonts w:ascii="Calibri" w:hAnsi="Calibri"/>
        </w:rPr>
        <w:t>bio-oil</w:t>
      </w:r>
      <w:proofErr w:type="gramEnd"/>
      <w:r>
        <w:rPr>
          <w:rFonts w:ascii="Calibri" w:hAnsi="Calibri"/>
        </w:rPr>
        <w:t xml:space="preserve"> in an existing petroleum refinery: its methodological choices, its data sourcing, and a set of production-generation scenarios representing Charm’s expected trajectory toward lower bio-oil production carbon intensity.</w:t>
      </w:r>
    </w:p>
    <w:p w14:paraId="1C8FE709" w14:textId="77777777" w:rsidR="00450052" w:rsidRDefault="00000000">
      <w:pPr>
        <w:spacing w:after="160"/>
      </w:pPr>
      <w:r>
        <w:rPr>
          <w:rFonts w:ascii="Calibri" w:hAnsi="Calibri"/>
          <w:i/>
        </w:rPr>
        <w:t>The workbook is a worked-example template with placeholder figures, not a submission-ready calculation. Every editable input is labeled and colored as such in the file itself, and the status is stated on its own cover tab.</w:t>
      </w:r>
    </w:p>
    <w:p w14:paraId="579F15A4" w14:textId="77777777" w:rsidR="00450052" w:rsidRDefault="00000000">
      <w:pPr>
        <w:pStyle w:val="Heading1"/>
        <w:spacing w:before="280" w:after="120"/>
      </w:pPr>
      <w:r>
        <w:rPr>
          <w:rFonts w:ascii="Calibri" w:hAnsi="Calibri"/>
          <w:color w:val="2E74B5"/>
          <w:sz w:val="30"/>
        </w:rPr>
        <w:t>1. What the Model Covers</w:t>
      </w:r>
    </w:p>
    <w:p w14:paraId="4FEFFCE3" w14:textId="432C199F" w:rsidR="00540A75" w:rsidRDefault="00540A75">
      <w:pPr>
        <w:spacing w:after="160"/>
        <w:rPr>
          <w:rFonts w:ascii="Calibri" w:hAnsi="Calibri"/>
        </w:rPr>
      </w:pPr>
      <w:r>
        <w:rPr>
          <w:rFonts w:ascii="Calibri" w:hAnsi="Calibri"/>
        </w:rPr>
        <w:t xml:space="preserve">The model is set up to elaborate what the methodology set out in the </w:t>
      </w:r>
      <w:hyperlink r:id="rId8" w:anchor="gid=1799448362" w:history="1">
        <w:r w:rsidRPr="008C2C4A">
          <w:rPr>
            <w:rStyle w:val="Hyperlink"/>
            <w:rFonts w:ascii="Calibri" w:hAnsi="Calibri"/>
          </w:rPr>
          <w:t>Bolt-On Methodology deck</w:t>
        </w:r>
      </w:hyperlink>
      <w:r>
        <w:rPr>
          <w:rFonts w:ascii="Calibri" w:hAnsi="Calibri"/>
        </w:rPr>
        <w:t xml:space="preserve"> would look like concretely in a modeled production scenario. The logic follows the stepwise structure of the deck, references to “Step #” cross reference to the deck.</w:t>
      </w:r>
    </w:p>
    <w:p w14:paraId="0D0E1876" w14:textId="25E4A739" w:rsidR="00450052" w:rsidRDefault="00000000">
      <w:pPr>
        <w:spacing w:after="160"/>
      </w:pPr>
      <w:r>
        <w:rPr>
          <w:rFonts w:ascii="Calibri" w:hAnsi="Calibri"/>
        </w:rPr>
        <w:t xml:space="preserve">The modeled system boundary runs: biomass sourced and transported to Charm’s plant → converted to bio-oil, biochar, and aqueous condensate by pyrolysis → that step’s carbon footprint </w:t>
      </w:r>
      <w:r w:rsidR="00540A75">
        <w:rPr>
          <w:rFonts w:ascii="Calibri" w:hAnsi="Calibri"/>
        </w:rPr>
        <w:t>allocated across output products</w:t>
      </w:r>
      <w:r>
        <w:rPr>
          <w:rFonts w:ascii="Calibri" w:hAnsi="Calibri"/>
        </w:rPr>
        <w:t xml:space="preserve"> by carbon mass → bio-oil transported to an oil refinery → refinery co-processing alongside the refinery’s other inputs → the refinery’s process emissions and the incoming biogenic carbon allocated across its fuel outputs</w:t>
      </w:r>
      <w:r w:rsidR="00540A75">
        <w:rPr>
          <w:rFonts w:ascii="Calibri" w:hAnsi="Calibri"/>
        </w:rPr>
        <w:t xml:space="preserve"> on a free allocation basis</w:t>
      </w:r>
      <w:r>
        <w:rPr>
          <w:rFonts w:ascii="Calibri" w:hAnsi="Calibri"/>
        </w:rPr>
        <w:t xml:space="preserve"> → finished fuel transported to the blend point → one carbon-intensity figure for the jet fuel, compared against a fossil jet fuel baseline.</w:t>
      </w:r>
    </w:p>
    <w:p w14:paraId="3F747D33" w14:textId="2A1B7E29" w:rsidR="008C2C4A" w:rsidRDefault="00000000">
      <w:pPr>
        <w:spacing w:after="160"/>
        <w:rPr>
          <w:rFonts w:ascii="Calibri" w:hAnsi="Calibri"/>
        </w:rPr>
      </w:pPr>
      <w:r>
        <w:rPr>
          <w:rFonts w:ascii="Calibri" w:hAnsi="Calibri"/>
        </w:rPr>
        <w:t xml:space="preserve">Steps </w:t>
      </w:r>
      <w:r w:rsidR="008C2C4A">
        <w:rPr>
          <w:rFonts w:ascii="Calibri" w:hAnsi="Calibri"/>
        </w:rPr>
        <w:t xml:space="preserve">1-6 take us </w:t>
      </w:r>
      <w:r>
        <w:rPr>
          <w:rFonts w:ascii="Calibri" w:hAnsi="Calibri"/>
        </w:rPr>
        <w:t xml:space="preserve">through </w:t>
      </w:r>
      <w:proofErr w:type="gramStart"/>
      <w:r>
        <w:rPr>
          <w:rFonts w:ascii="Calibri" w:hAnsi="Calibri"/>
        </w:rPr>
        <w:t>bio-oil</w:t>
      </w:r>
      <w:proofErr w:type="gramEnd"/>
      <w:r>
        <w:rPr>
          <w:rFonts w:ascii="Calibri" w:hAnsi="Calibri"/>
        </w:rPr>
        <w:t xml:space="preserve"> leaving Charm’s plant</w:t>
      </w:r>
      <w:r w:rsidR="008C2C4A">
        <w:rPr>
          <w:rFonts w:ascii="Calibri" w:hAnsi="Calibri"/>
        </w:rPr>
        <w:t xml:space="preserve">. These all </w:t>
      </w:r>
      <w:r w:rsidR="00540A75">
        <w:rPr>
          <w:rFonts w:ascii="Calibri" w:hAnsi="Calibri"/>
        </w:rPr>
        <w:t xml:space="preserve">reflect the validated carbon accounting methodology already in use by Charm to register CDR from geological injection of </w:t>
      </w:r>
      <w:proofErr w:type="gramStart"/>
      <w:r w:rsidR="00540A75">
        <w:rPr>
          <w:rFonts w:ascii="Calibri" w:hAnsi="Calibri"/>
        </w:rPr>
        <w:t>bio-oil</w:t>
      </w:r>
      <w:proofErr w:type="gramEnd"/>
      <w:r w:rsidR="00540A75">
        <w:rPr>
          <w:rFonts w:ascii="Calibri" w:hAnsi="Calibri"/>
        </w:rPr>
        <w:t xml:space="preserve"> and soil application of biochar</w:t>
      </w:r>
      <w:r w:rsidR="008C2C4A">
        <w:rPr>
          <w:rFonts w:ascii="Calibri" w:hAnsi="Calibri"/>
        </w:rPr>
        <w:t xml:space="preserve"> with only minor adjustments</w:t>
      </w:r>
      <w:r w:rsidR="008C2C4A">
        <w:rPr>
          <w:rStyle w:val="FootnoteReference"/>
          <w:rFonts w:ascii="Calibri" w:hAnsi="Calibri"/>
        </w:rPr>
        <w:footnoteReference w:id="1"/>
      </w:r>
      <w:r w:rsidR="00540A75">
        <w:rPr>
          <w:rFonts w:ascii="Calibri" w:hAnsi="Calibri"/>
        </w:rPr>
        <w:t xml:space="preserve">. </w:t>
      </w:r>
      <w:r w:rsidR="008C2C4A">
        <w:rPr>
          <w:rFonts w:ascii="Calibri" w:hAnsi="Calibri"/>
        </w:rPr>
        <w:t xml:space="preserve">A dropdown allows a user to select between </w:t>
      </w:r>
      <w:r w:rsidR="00806D1F">
        <w:rPr>
          <w:rFonts w:ascii="Calibri" w:hAnsi="Calibri"/>
        </w:rPr>
        <w:t>four</w:t>
      </w:r>
      <w:r w:rsidR="008C2C4A">
        <w:rPr>
          <w:rFonts w:ascii="Calibri" w:hAnsi="Calibri"/>
        </w:rPr>
        <w:t xml:space="preserve"> data options to compute this segment: </w:t>
      </w:r>
    </w:p>
    <w:p w14:paraId="66C4471E" w14:textId="5A5EC26B" w:rsidR="008C2C4A" w:rsidRDefault="008C2C4A" w:rsidP="008C2C4A">
      <w:pPr>
        <w:pStyle w:val="ListParagraph"/>
        <w:numPr>
          <w:ilvl w:val="0"/>
          <w:numId w:val="10"/>
        </w:numPr>
        <w:spacing w:after="160"/>
        <w:rPr>
          <w:rFonts w:ascii="Calibri" w:hAnsi="Calibri"/>
        </w:rPr>
      </w:pPr>
      <w:r>
        <w:rPr>
          <w:rFonts w:ascii="Calibri" w:hAnsi="Calibri"/>
        </w:rPr>
        <w:t>Actual data from H1 2026 pyrolysis (reflects “B-Series” output)</w:t>
      </w:r>
    </w:p>
    <w:p w14:paraId="7E3D84F2" w14:textId="5C5D0B48" w:rsidR="008C2C4A" w:rsidRDefault="008C2C4A" w:rsidP="008C2C4A">
      <w:pPr>
        <w:pStyle w:val="ListParagraph"/>
        <w:numPr>
          <w:ilvl w:val="0"/>
          <w:numId w:val="10"/>
        </w:numPr>
        <w:spacing w:after="160"/>
        <w:rPr>
          <w:rFonts w:ascii="Calibri" w:hAnsi="Calibri"/>
        </w:rPr>
      </w:pPr>
      <w:r>
        <w:rPr>
          <w:rFonts w:ascii="Calibri" w:hAnsi="Calibri"/>
        </w:rPr>
        <w:t xml:space="preserve">Current engineering estimate for </w:t>
      </w:r>
      <w:proofErr w:type="gramStart"/>
      <w:r>
        <w:rPr>
          <w:rFonts w:ascii="Calibri" w:hAnsi="Calibri"/>
        </w:rPr>
        <w:t>bio-oil</w:t>
      </w:r>
      <w:proofErr w:type="gramEnd"/>
      <w:r>
        <w:rPr>
          <w:rFonts w:ascii="Calibri" w:hAnsi="Calibri"/>
        </w:rPr>
        <w:t xml:space="preserve"> from </w:t>
      </w:r>
      <w:r w:rsidR="00806D1F">
        <w:rPr>
          <w:rFonts w:ascii="Calibri" w:hAnsi="Calibri"/>
        </w:rPr>
        <w:t>D-Series output ca. 2027</w:t>
      </w:r>
    </w:p>
    <w:p w14:paraId="61195772" w14:textId="50F215B9" w:rsidR="00806D1F" w:rsidRDefault="00806D1F" w:rsidP="008C2C4A">
      <w:pPr>
        <w:pStyle w:val="ListParagraph"/>
        <w:numPr>
          <w:ilvl w:val="0"/>
          <w:numId w:val="10"/>
        </w:numPr>
        <w:spacing w:after="160"/>
        <w:rPr>
          <w:rFonts w:ascii="Calibri" w:hAnsi="Calibri"/>
        </w:rPr>
      </w:pPr>
      <w:r>
        <w:rPr>
          <w:rFonts w:ascii="Calibri" w:hAnsi="Calibri"/>
        </w:rPr>
        <w:t xml:space="preserve">Current engineering estimate for </w:t>
      </w:r>
      <w:proofErr w:type="gramStart"/>
      <w:r>
        <w:rPr>
          <w:rFonts w:ascii="Calibri" w:hAnsi="Calibri"/>
        </w:rPr>
        <w:t>bio-oil</w:t>
      </w:r>
      <w:proofErr w:type="gramEnd"/>
      <w:r>
        <w:rPr>
          <w:rFonts w:ascii="Calibri" w:hAnsi="Calibri"/>
        </w:rPr>
        <w:t xml:space="preserve"> from E-Series output ca. 2028</w:t>
      </w:r>
    </w:p>
    <w:p w14:paraId="701D8E72" w14:textId="0AFFE12F" w:rsidR="00806D1F" w:rsidRDefault="00806D1F" w:rsidP="008C2C4A">
      <w:pPr>
        <w:pStyle w:val="ListParagraph"/>
        <w:numPr>
          <w:ilvl w:val="0"/>
          <w:numId w:val="10"/>
        </w:numPr>
        <w:spacing w:after="160"/>
        <w:rPr>
          <w:rFonts w:ascii="Calibri" w:hAnsi="Calibri"/>
        </w:rPr>
      </w:pPr>
      <w:r>
        <w:rPr>
          <w:rFonts w:ascii="Calibri" w:hAnsi="Calibri"/>
        </w:rPr>
        <w:lastRenderedPageBreak/>
        <w:t xml:space="preserve">Current engineering estimate for </w:t>
      </w:r>
      <w:proofErr w:type="gramStart"/>
      <w:r>
        <w:rPr>
          <w:rFonts w:ascii="Calibri" w:hAnsi="Calibri"/>
        </w:rPr>
        <w:t>bio-oil</w:t>
      </w:r>
      <w:proofErr w:type="gramEnd"/>
      <w:r>
        <w:rPr>
          <w:rFonts w:ascii="Calibri" w:hAnsi="Calibri"/>
        </w:rPr>
        <w:t xml:space="preserve"> from F-Series output ca. 2030</w:t>
      </w:r>
    </w:p>
    <w:p w14:paraId="4A0B0775" w14:textId="5B5F458C" w:rsidR="00806D1F" w:rsidRPr="00806D1F" w:rsidRDefault="00806D1F" w:rsidP="00806D1F">
      <w:pPr>
        <w:spacing w:after="160"/>
        <w:rPr>
          <w:rFonts w:ascii="Calibri" w:hAnsi="Calibri"/>
        </w:rPr>
      </w:pPr>
      <w:r>
        <w:rPr>
          <w:rFonts w:ascii="Calibri" w:hAnsi="Calibri"/>
        </w:rPr>
        <w:t>There is also an option to show the output CI with and without “instruments”. These “instruments” refer to the RECs and renewable diesel BCUs used in Charm’s production accounting. The use of these instruments is a part of Charm’s validated CDR emissions accounting practice, and we expect to continue using them in a “bolt-on” methodology for precisely that reason. However, this optionality provides transparency regarding which aspects of the CI score come from which inputs when reviewing historical data and projections</w:t>
      </w:r>
      <w:r w:rsidR="00823F51">
        <w:rPr>
          <w:rStyle w:val="FootnoteReference"/>
          <w:rFonts w:ascii="Calibri" w:hAnsi="Calibri"/>
        </w:rPr>
        <w:footnoteReference w:id="2"/>
      </w:r>
      <w:r>
        <w:rPr>
          <w:rFonts w:ascii="Calibri" w:hAnsi="Calibri"/>
        </w:rPr>
        <w:t>.</w:t>
      </w:r>
    </w:p>
    <w:p w14:paraId="08334B3D" w14:textId="57EB8620" w:rsidR="00450052" w:rsidRDefault="00000000">
      <w:pPr>
        <w:spacing w:after="160"/>
      </w:pPr>
      <w:r>
        <w:rPr>
          <w:rFonts w:ascii="Calibri" w:hAnsi="Calibri"/>
        </w:rPr>
        <w:t>Refinery co-processing, marginal-emissions allocation, and biogenic-carbon attribution (Steps 7-9 and 11-12) have no counterpart in the existing PDD or in Charm’s Isometric-approved protocol suite</w:t>
      </w:r>
      <w:r w:rsidR="00662C8F">
        <w:rPr>
          <w:rFonts w:ascii="Calibri" w:hAnsi="Calibri"/>
        </w:rPr>
        <w:t>.</w:t>
      </w:r>
      <w:r>
        <w:rPr>
          <w:rFonts w:ascii="Calibri" w:hAnsi="Calibri"/>
        </w:rPr>
        <w:t xml:space="preserve"> For that portion, the model uses a published third-party </w:t>
      </w:r>
      <w:r w:rsidR="00662C8F">
        <w:rPr>
          <w:rFonts w:ascii="Calibri" w:hAnsi="Calibri"/>
        </w:rPr>
        <w:t>renewable fuel EAC</w:t>
      </w:r>
      <w:r>
        <w:rPr>
          <w:rFonts w:ascii="Calibri" w:hAnsi="Calibri"/>
        </w:rPr>
        <w:t xml:space="preserve"> framework, RSB</w:t>
      </w:r>
      <w:r w:rsidR="00806D1F">
        <w:rPr>
          <w:rFonts w:ascii="Calibri" w:hAnsi="Calibri"/>
        </w:rPr>
        <w:t xml:space="preserve"> Global Advanced Fuels</w:t>
      </w:r>
      <w:r>
        <w:rPr>
          <w:rFonts w:ascii="Calibri" w:hAnsi="Calibri"/>
        </w:rPr>
        <w:t>. This is presented as an example of how Charm’s validated upstream accounting would flow into a downstream framework</w:t>
      </w:r>
      <w:r w:rsidR="00806D1F">
        <w:rPr>
          <w:rFonts w:ascii="Calibri" w:hAnsi="Calibri"/>
        </w:rPr>
        <w:t xml:space="preserve"> that is robust and reputable</w:t>
      </w:r>
      <w:r>
        <w:rPr>
          <w:rFonts w:ascii="Calibri" w:hAnsi="Calibri"/>
        </w:rPr>
        <w:t>, not a commitment to RSB as Charm’s permanent methodology.</w:t>
      </w:r>
    </w:p>
    <w:tbl>
      <w:tblPr>
        <w:tblStyle w:val="LightGrid-Accent1"/>
        <w:tblW w:w="0" w:type="auto"/>
        <w:tblLook w:val="04A0" w:firstRow="1" w:lastRow="0" w:firstColumn="1" w:lastColumn="0" w:noHBand="0" w:noVBand="1"/>
      </w:tblPr>
      <w:tblGrid>
        <w:gridCol w:w="4680"/>
        <w:gridCol w:w="4680"/>
      </w:tblGrid>
      <w:tr w:rsidR="00450052" w14:paraId="117D516C" w14:textId="77777777" w:rsidTr="00450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2DA16F0" w14:textId="77777777" w:rsidR="00450052" w:rsidRDefault="00000000">
            <w:r>
              <w:t>Model Tab</w:t>
            </w:r>
          </w:p>
        </w:tc>
        <w:tc>
          <w:tcPr>
            <w:tcW w:w="4680" w:type="dxa"/>
          </w:tcPr>
          <w:p w14:paraId="73AEBC5E" w14:textId="77777777" w:rsidR="00450052" w:rsidRDefault="00000000">
            <w:pPr>
              <w:cnfStyle w:val="100000000000" w:firstRow="1" w:lastRow="0" w:firstColumn="0" w:lastColumn="0" w:oddVBand="0" w:evenVBand="0" w:oddHBand="0" w:evenHBand="0" w:firstRowFirstColumn="0" w:firstRowLastColumn="0" w:lastRowFirstColumn="0" w:lastRowLastColumn="0"/>
            </w:pPr>
            <w:r>
              <w:t>What It Covers</w:t>
            </w:r>
          </w:p>
        </w:tc>
      </w:tr>
      <w:tr w:rsidR="00450052" w14:paraId="6F8C136C" w14:textId="77777777" w:rsidTr="0045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A945AC" w14:textId="77777777" w:rsidR="00450052" w:rsidRDefault="00000000">
            <w:r>
              <w:rPr>
                <w:sz w:val="20"/>
              </w:rPr>
              <w:t>1. Bio-Oil Inputs</w:t>
            </w:r>
          </w:p>
        </w:tc>
        <w:tc>
          <w:tcPr>
            <w:tcW w:w="4680" w:type="dxa"/>
          </w:tcPr>
          <w:p w14:paraId="6BE29C1E" w14:textId="77777777" w:rsidR="00450052" w:rsidRDefault="00000000">
            <w:pPr>
              <w:cnfStyle w:val="000000100000" w:firstRow="0" w:lastRow="0" w:firstColumn="0" w:lastColumn="0" w:oddVBand="0" w:evenVBand="0" w:oddHBand="1" w:evenHBand="0" w:firstRowFirstColumn="0" w:firstRowLastColumn="0" w:lastRowFirstColumn="0" w:lastRowLastColumn="0"/>
            </w:pPr>
            <w:r>
              <w:rPr>
                <w:sz w:val="20"/>
              </w:rPr>
              <w:t>Bio-oil production process emissions and the CI scenario selector</w:t>
            </w:r>
          </w:p>
        </w:tc>
      </w:tr>
      <w:tr w:rsidR="00450052" w14:paraId="201AACDF" w14:textId="77777777" w:rsidTr="004500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D1FF0F" w14:textId="77777777" w:rsidR="00450052" w:rsidRDefault="00000000">
            <w:r>
              <w:rPr>
                <w:sz w:val="20"/>
              </w:rPr>
              <w:t>2. Transport</w:t>
            </w:r>
          </w:p>
        </w:tc>
        <w:tc>
          <w:tcPr>
            <w:tcW w:w="4680" w:type="dxa"/>
          </w:tcPr>
          <w:p w14:paraId="7232C0C8" w14:textId="77777777" w:rsidR="00450052" w:rsidRDefault="00000000">
            <w:pPr>
              <w:cnfStyle w:val="000000010000" w:firstRow="0" w:lastRow="0" w:firstColumn="0" w:lastColumn="0" w:oddVBand="0" w:evenVBand="0" w:oddHBand="0" w:evenHBand="1" w:firstRowFirstColumn="0" w:firstRowLastColumn="0" w:lastRowFirstColumn="0" w:lastRowLastColumn="0"/>
            </w:pPr>
            <w:r>
              <w:rPr>
                <w:sz w:val="20"/>
              </w:rPr>
              <w:t>Bio-oil-to-refinery and finished-fuel-to-blend-point transport emissions</w:t>
            </w:r>
          </w:p>
        </w:tc>
      </w:tr>
      <w:tr w:rsidR="00450052" w14:paraId="63070158" w14:textId="77777777" w:rsidTr="0045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66B65D" w14:textId="77777777" w:rsidR="00450052" w:rsidRDefault="00000000">
            <w:r>
              <w:rPr>
                <w:sz w:val="20"/>
              </w:rPr>
              <w:t>3. Refinery Allocation</w:t>
            </w:r>
          </w:p>
        </w:tc>
        <w:tc>
          <w:tcPr>
            <w:tcW w:w="4680" w:type="dxa"/>
          </w:tcPr>
          <w:p w14:paraId="116ECEFA" w14:textId="77777777" w:rsidR="00450052" w:rsidRDefault="00000000">
            <w:pPr>
              <w:cnfStyle w:val="000000100000" w:firstRow="0" w:lastRow="0" w:firstColumn="0" w:lastColumn="0" w:oddVBand="0" w:evenVBand="0" w:oddHBand="1" w:evenHBand="0" w:firstRowFirstColumn="0" w:firstRowLastColumn="0" w:lastRowFirstColumn="0" w:lastRowLastColumn="0"/>
            </w:pPr>
            <w:r>
              <w:rPr>
                <w:sz w:val="20"/>
              </w:rPr>
              <w:t>Marginal refinery emissions and biogenic-carbon allocation at the FCC unit</w:t>
            </w:r>
          </w:p>
        </w:tc>
      </w:tr>
      <w:tr w:rsidR="00450052" w14:paraId="3A5BFFED" w14:textId="77777777" w:rsidTr="004500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CB7379" w14:textId="77777777" w:rsidR="00450052" w:rsidRDefault="00000000">
            <w:r>
              <w:rPr>
                <w:sz w:val="20"/>
              </w:rPr>
              <w:t>3b. Refinery Outputs</w:t>
            </w:r>
          </w:p>
        </w:tc>
        <w:tc>
          <w:tcPr>
            <w:tcW w:w="4680" w:type="dxa"/>
          </w:tcPr>
          <w:p w14:paraId="7E19AF03" w14:textId="77777777" w:rsidR="00450052" w:rsidRDefault="00000000">
            <w:pPr>
              <w:cnfStyle w:val="000000010000" w:firstRow="0" w:lastRow="0" w:firstColumn="0" w:lastColumn="0" w:oddVBand="0" w:evenVBand="0" w:oddHBand="0" w:evenHBand="1" w:firstRowFirstColumn="0" w:firstRowLastColumn="0" w:lastRowFirstColumn="0" w:lastRowLastColumn="0"/>
            </w:pPr>
            <w:r>
              <w:rPr>
                <w:sz w:val="20"/>
              </w:rPr>
              <w:t>Refinery product slate and per-product energy content</w:t>
            </w:r>
          </w:p>
        </w:tc>
      </w:tr>
      <w:tr w:rsidR="00450052" w14:paraId="7A5E51D4" w14:textId="77777777" w:rsidTr="0045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75E7E8" w14:textId="77777777" w:rsidR="00450052" w:rsidRDefault="00000000">
            <w:r>
              <w:rPr>
                <w:sz w:val="20"/>
              </w:rPr>
              <w:t>4. Biogenic Attribution</w:t>
            </w:r>
          </w:p>
        </w:tc>
        <w:tc>
          <w:tcPr>
            <w:tcW w:w="4680" w:type="dxa"/>
          </w:tcPr>
          <w:p w14:paraId="244EB40E" w14:textId="77777777" w:rsidR="00450052" w:rsidRDefault="00000000">
            <w:pPr>
              <w:cnfStyle w:val="000000100000" w:firstRow="0" w:lastRow="0" w:firstColumn="0" w:lastColumn="0" w:oddVBand="0" w:evenVBand="0" w:oddHBand="1" w:evenHBand="0" w:firstRowFirstColumn="0" w:firstRowLastColumn="0" w:lastRowFirstColumn="0" w:lastRowLastColumn="0"/>
            </w:pPr>
            <w:r>
              <w:rPr>
                <w:sz w:val="20"/>
              </w:rPr>
              <w:t>Eligible biogenic carbon assigned to the jet fuel output</w:t>
            </w:r>
          </w:p>
        </w:tc>
      </w:tr>
      <w:tr w:rsidR="00450052" w14:paraId="4EFFC871" w14:textId="77777777" w:rsidTr="004500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761C91" w14:textId="77777777" w:rsidR="00450052" w:rsidRDefault="00000000">
            <w:r>
              <w:rPr>
                <w:sz w:val="20"/>
              </w:rPr>
              <w:t>5. Result – CI &amp; Saving</w:t>
            </w:r>
          </w:p>
        </w:tc>
        <w:tc>
          <w:tcPr>
            <w:tcW w:w="4680" w:type="dxa"/>
          </w:tcPr>
          <w:p w14:paraId="4132A564" w14:textId="77777777" w:rsidR="00450052" w:rsidRDefault="00000000">
            <w:pPr>
              <w:cnfStyle w:val="000000010000" w:firstRow="0" w:lastRow="0" w:firstColumn="0" w:lastColumn="0" w:oddVBand="0" w:evenVBand="0" w:oddHBand="0" w:evenHBand="1" w:firstRowFirstColumn="0" w:firstRowLastColumn="0" w:lastRowFirstColumn="0" w:lastRowLastColumn="0"/>
            </w:pPr>
            <w:r>
              <w:rPr>
                <w:sz w:val="20"/>
              </w:rPr>
              <w:t>Final well-to-wake carbon intensity and % reduction vs. the fossil baseline</w:t>
            </w:r>
          </w:p>
        </w:tc>
      </w:tr>
      <w:tr w:rsidR="00450052" w14:paraId="19480AE4" w14:textId="77777777" w:rsidTr="0045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B96C18" w14:textId="77777777" w:rsidR="00450052" w:rsidRDefault="00000000">
            <w:r>
              <w:rPr>
                <w:sz w:val="20"/>
              </w:rPr>
              <w:t>Assumptions &amp; Data Quality Log</w:t>
            </w:r>
          </w:p>
        </w:tc>
        <w:tc>
          <w:tcPr>
            <w:tcW w:w="4680" w:type="dxa"/>
          </w:tcPr>
          <w:p w14:paraId="7574B4C6" w14:textId="77777777" w:rsidR="00450052" w:rsidRDefault="00000000">
            <w:pPr>
              <w:cnfStyle w:val="000000100000" w:firstRow="0" w:lastRow="0" w:firstColumn="0" w:lastColumn="0" w:oddVBand="0" w:evenVBand="0" w:oddHBand="1" w:evenHBand="0" w:firstRowFirstColumn="0" w:firstRowLastColumn="0" w:lastRowFirstColumn="0" w:lastRowLastColumn="0"/>
            </w:pPr>
            <w:r>
              <w:rPr>
                <w:sz w:val="20"/>
              </w:rPr>
              <w:t>Every factor used, with its source, vintage, and data-quality rating</w:t>
            </w:r>
          </w:p>
        </w:tc>
      </w:tr>
      <w:tr w:rsidR="00450052" w14:paraId="0C9E97F7" w14:textId="77777777" w:rsidTr="004500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D68326" w14:textId="77777777" w:rsidR="00450052" w:rsidRDefault="00000000">
            <w:r>
              <w:rPr>
                <w:sz w:val="20"/>
              </w:rPr>
              <w:t>References</w:t>
            </w:r>
          </w:p>
        </w:tc>
        <w:tc>
          <w:tcPr>
            <w:tcW w:w="4680" w:type="dxa"/>
          </w:tcPr>
          <w:p w14:paraId="6F723D17" w14:textId="77777777" w:rsidR="00450052" w:rsidRDefault="00000000">
            <w:pPr>
              <w:cnfStyle w:val="000000010000" w:firstRow="0" w:lastRow="0" w:firstColumn="0" w:lastColumn="0" w:oddVBand="0" w:evenVBand="0" w:oddHBand="0" w:evenHBand="1" w:firstRowFirstColumn="0" w:firstRowLastColumn="0" w:lastRowFirstColumn="0" w:lastRowLastColumn="0"/>
            </w:pPr>
            <w:r>
              <w:rPr>
                <w:sz w:val="20"/>
              </w:rPr>
              <w:t>The exact clause of the exact document behind each modeled step</w:t>
            </w:r>
          </w:p>
        </w:tc>
      </w:tr>
    </w:tbl>
    <w:p w14:paraId="3B3894E7" w14:textId="77777777" w:rsidR="00450052" w:rsidRDefault="00450052">
      <w:pPr>
        <w:spacing w:after="80"/>
      </w:pPr>
    </w:p>
    <w:p w14:paraId="04B54846" w14:textId="77777777" w:rsidR="00450052" w:rsidRDefault="00000000">
      <w:pPr>
        <w:pStyle w:val="Heading1"/>
        <w:spacing w:before="280" w:after="120"/>
      </w:pPr>
      <w:r>
        <w:rPr>
          <w:rFonts w:ascii="Calibri" w:hAnsi="Calibri"/>
          <w:color w:val="2E74B5"/>
          <w:sz w:val="30"/>
        </w:rPr>
        <w:t>2. Methodological Choices</w:t>
      </w:r>
    </w:p>
    <w:p w14:paraId="39A25D8D" w14:textId="108346DF" w:rsidR="00450052" w:rsidRDefault="00000000">
      <w:pPr>
        <w:pStyle w:val="ListBullet"/>
        <w:spacing w:after="80"/>
      </w:pPr>
      <w:r>
        <w:rPr>
          <w:rFonts w:ascii="Calibri" w:hAnsi="Calibri"/>
        </w:rPr>
        <w:t>RSB as the co-processing</w:t>
      </w:r>
      <w:r w:rsidR="00823F51">
        <w:rPr>
          <w:rFonts w:ascii="Calibri" w:hAnsi="Calibri"/>
        </w:rPr>
        <w:t xml:space="preserve"> EAC</w:t>
      </w:r>
      <w:r>
        <w:rPr>
          <w:rFonts w:ascii="Calibri" w:hAnsi="Calibri"/>
        </w:rPr>
        <w:t xml:space="preserve"> framework: RSB-STD-01-010 v2.8 §2.4 and §2.4.5 (Annex IV) were selected specifically because their flexible/free attribution option supports assigning the full biogenic carbon credit to a chosen output.</w:t>
      </w:r>
    </w:p>
    <w:p w14:paraId="24EBC5F0" w14:textId="01027A36" w:rsidR="00450052" w:rsidRDefault="00662C8F">
      <w:pPr>
        <w:pStyle w:val="ListBullet"/>
        <w:spacing w:after="80"/>
      </w:pPr>
      <w:r>
        <w:rPr>
          <w:rFonts w:ascii="Calibri" w:hAnsi="Calibri"/>
        </w:rPr>
        <w:t xml:space="preserve">Because we do not have a specific refinery partner, the refinery stage of the model is designed to act as a mid-range generic proxy, which prevents over-indexing on the specifics of one facility. This proxy refinery is sized at 125,000 barrels/day, the U.S. Small Business Administration’s small/large refinery threshold, per DOE’s 2015 Bandwidth Study on Energy Use in U.S. Petroleum Refining </w:t>
      </w:r>
      <w:r>
        <w:rPr>
          <w:rFonts w:ascii="Calibri" w:hAnsi="Calibri"/>
        </w:rPr>
        <w:lastRenderedPageBreak/>
        <w:t>(p.18). Per-unit energy intensities (FCC: 182,800 Btu/</w:t>
      </w:r>
      <w:proofErr w:type="spellStart"/>
      <w:r>
        <w:rPr>
          <w:rFonts w:ascii="Calibri" w:hAnsi="Calibri"/>
        </w:rPr>
        <w:t>bbl</w:t>
      </w:r>
      <w:proofErr w:type="spellEnd"/>
      <w:r>
        <w:rPr>
          <w:rFonts w:ascii="Calibri" w:hAnsi="Calibri"/>
        </w:rPr>
        <w:t>; atmospheric crude distillation: 109,100 Btu/</w:t>
      </w:r>
      <w:proofErr w:type="spellStart"/>
      <w:r>
        <w:rPr>
          <w:rFonts w:ascii="Calibri" w:hAnsi="Calibri"/>
        </w:rPr>
        <w:t>bbl</w:t>
      </w:r>
      <w:proofErr w:type="spellEnd"/>
      <w:r>
        <w:rPr>
          <w:rFonts w:ascii="Calibri" w:hAnsi="Calibri"/>
        </w:rPr>
        <w:t xml:space="preserve">) come from the same study’s Table 4-2, and the refinery’s FCC share of total crude throughput (32.4%) comes from Charm’s own census of 83 U.S. refineries. </w:t>
      </w:r>
    </w:p>
    <w:p w14:paraId="67227420" w14:textId="7C8A8525" w:rsidR="00823F51" w:rsidRPr="00823F51" w:rsidRDefault="00823F51">
      <w:pPr>
        <w:pStyle w:val="ListBullet"/>
        <w:spacing w:after="80"/>
      </w:pPr>
      <w:r>
        <w:t xml:space="preserve">Bio-oil quantity: The quantity of </w:t>
      </w:r>
      <w:proofErr w:type="gramStart"/>
      <w:r>
        <w:t>bio-oil</w:t>
      </w:r>
      <w:proofErr w:type="gramEnd"/>
      <w:r>
        <w:t xml:space="preserve"> is held constant at the total quantity produced during the first six months of 2026. Refinery input and output estimates are annualized, so the model is in effect modeling a refinery co-processing </w:t>
      </w:r>
      <w:proofErr w:type="gramStart"/>
      <w:r>
        <w:t>all of</w:t>
      </w:r>
      <w:proofErr w:type="gramEnd"/>
      <w:r>
        <w:t xml:space="preserve"> the </w:t>
      </w:r>
      <w:proofErr w:type="gramStart"/>
      <w:r>
        <w:t>bio oil</w:t>
      </w:r>
      <w:proofErr w:type="gramEnd"/>
      <w:r>
        <w:t xml:space="preserve"> produced during the first six months of 2026</w:t>
      </w:r>
      <w:r w:rsidR="00375008">
        <w:t xml:space="preserve"> over the course of a year. While actual quantities will be larger, this quantity allows us to meaningfully compare historical production from primary data against engineering </w:t>
      </w:r>
      <w:proofErr w:type="gramStart"/>
      <w:r w:rsidR="00375008">
        <w:t>estimates  for</w:t>
      </w:r>
      <w:proofErr w:type="gramEnd"/>
      <w:r w:rsidR="00375008">
        <w:t xml:space="preserve"> subsequent </w:t>
      </w:r>
      <w:proofErr w:type="spellStart"/>
      <w:r w:rsidR="00375008">
        <w:t>pyrolyzer</w:t>
      </w:r>
      <w:proofErr w:type="spellEnd"/>
      <w:r w:rsidR="00375008">
        <w:t xml:space="preserve"> generations. It is also a conservative assumption: As blend rate increases, eligible SAF energy grows linearly with bio-oil volume, which is a higher slope than the ratio of allocated refinery emissions to bio-oil volume</w:t>
      </w:r>
    </w:p>
    <w:p w14:paraId="6B398CC5" w14:textId="0E750600" w:rsidR="00823F51" w:rsidRDefault="00000000" w:rsidP="00375008">
      <w:pPr>
        <w:pStyle w:val="ListBullet"/>
        <w:spacing w:after="80"/>
      </w:pPr>
      <w:r>
        <w:rPr>
          <w:rFonts w:ascii="Calibri" w:hAnsi="Calibri"/>
        </w:rPr>
        <w:t xml:space="preserve">Materiality-based </w:t>
      </w:r>
      <w:r w:rsidR="00375008">
        <w:rPr>
          <w:rFonts w:ascii="Calibri" w:hAnsi="Calibri"/>
        </w:rPr>
        <w:t xml:space="preserve">refinery modeling </w:t>
      </w:r>
      <w:r>
        <w:rPr>
          <w:rFonts w:ascii="Calibri" w:hAnsi="Calibri"/>
        </w:rPr>
        <w:t xml:space="preserve">scope limits: </w:t>
      </w:r>
      <w:r w:rsidR="00375008">
        <w:rPr>
          <w:rFonts w:ascii="Calibri" w:hAnsi="Calibri"/>
        </w:rPr>
        <w:t xml:space="preserve">Refinery emissions make up a small fraction (less than 3%) of overall lifecycle emissions. For this reason, the </w:t>
      </w:r>
      <w:r w:rsidR="00375008">
        <w:t>refinery emissions modeling is simplified because the end CI value is not sensitive to marginal changes in refinery emissions. Specifically</w:t>
      </w:r>
    </w:p>
    <w:p w14:paraId="0C2A8526" w14:textId="2A491B47" w:rsidR="00375008" w:rsidRDefault="00375008" w:rsidP="00375008">
      <w:pPr>
        <w:pStyle w:val="ListBullet"/>
        <w:tabs>
          <w:tab w:val="clear" w:pos="360"/>
          <w:tab w:val="num" w:pos="720"/>
        </w:tabs>
        <w:spacing w:after="80"/>
        <w:ind w:left="720"/>
      </w:pPr>
      <w:r>
        <w:t>All refinery energy consumption is scaled by a natural gas emission factor. While a refinery’s process energy is a mix of electricity, purchased natural gas, and self-generated still gas. Rather than guess a split, the relatively conservative natural gas emission factor is used as a proxy for all energy consumption</w:t>
      </w:r>
    </w:p>
    <w:p w14:paraId="3F60023B" w14:textId="6F5A3DD9" w:rsidR="00375008" w:rsidRDefault="00375008" w:rsidP="00375008">
      <w:pPr>
        <w:pStyle w:val="ListBullet"/>
        <w:tabs>
          <w:tab w:val="clear" w:pos="360"/>
          <w:tab w:val="num" w:pos="720"/>
        </w:tabs>
        <w:spacing w:after="80"/>
        <w:ind w:left="720"/>
      </w:pPr>
      <w:r>
        <w:t xml:space="preserve">It is likely that processing fast pyrolysis </w:t>
      </w:r>
      <w:proofErr w:type="gramStart"/>
      <w:r>
        <w:t>bio-oil</w:t>
      </w:r>
      <w:proofErr w:type="gramEnd"/>
      <w:r>
        <w:t xml:space="preserve"> (FPBO) will lead to marginal increases in catalyst degradation and hydrogen usage. However, that increase is expected to be marginal within </w:t>
      </w:r>
      <w:proofErr w:type="gramStart"/>
      <w:r>
        <w:t>a</w:t>
      </w:r>
      <w:proofErr w:type="gramEnd"/>
      <w:r>
        <w:t xml:space="preserve"> emission sources that are already marginal compared to refinery-wide energy consumption. For these reasons, these changes are not considered in this model</w:t>
      </w:r>
    </w:p>
    <w:p w14:paraId="4AEDCFD0" w14:textId="1D9EB6AC" w:rsidR="00375008" w:rsidRDefault="00375008" w:rsidP="00375008">
      <w:pPr>
        <w:pStyle w:val="ListBullet"/>
        <w:tabs>
          <w:tab w:val="clear" w:pos="360"/>
          <w:tab w:val="num" w:pos="720"/>
        </w:tabs>
        <w:spacing w:after="80"/>
        <w:ind w:left="720"/>
      </w:pPr>
      <w:r>
        <w:t xml:space="preserve">Refineries typically discharge </w:t>
      </w:r>
      <w:proofErr w:type="gramStart"/>
      <w:r>
        <w:t>waste water</w:t>
      </w:r>
      <w:proofErr w:type="gramEnd"/>
      <w:r>
        <w:t xml:space="preserve"> to pools and lagoons, often containing algae. The emissions character of these pools can vary widely based on management practices, aerobic condition, </w:t>
      </w:r>
      <w:r w:rsidR="006F1696">
        <w:t>flora composition, size, and region. Wastewater pool emissions are also a marginal source of overall refinery emissions, and are not present under all conditions, so they are not considered in this model</w:t>
      </w:r>
    </w:p>
    <w:p w14:paraId="606A3ECE" w14:textId="2E4A1B7B" w:rsidR="00DE1165" w:rsidRDefault="00DE1165" w:rsidP="00375008">
      <w:pPr>
        <w:pStyle w:val="ListBullet"/>
        <w:tabs>
          <w:tab w:val="clear" w:pos="360"/>
          <w:tab w:val="num" w:pos="720"/>
        </w:tabs>
        <w:spacing w:after="80"/>
        <w:ind w:left="720"/>
      </w:pPr>
      <w:r>
        <w:t>Energy consumption by non-FCC refinery components is modeled entirely as Atmospheric Crude Distillation.</w:t>
      </w:r>
      <w:r w:rsidR="00120387">
        <w:t xml:space="preserve"> Which processes are in scope, and their respective share of energy consumption, will vary significantly by refinery. Atmospheric Crude Distillation is shown as the highest energy consumer of any of the refinery processes included in the cited DOE bandwidth study, so it is used as a proxy for the energy intensity of all non-FCC refinery processes.</w:t>
      </w:r>
    </w:p>
    <w:p w14:paraId="6B9864FB" w14:textId="77777777" w:rsidR="00450052" w:rsidRDefault="00000000">
      <w:pPr>
        <w:pStyle w:val="Heading1"/>
        <w:spacing w:before="280" w:after="120"/>
      </w:pPr>
      <w:r>
        <w:rPr>
          <w:rFonts w:ascii="Calibri" w:hAnsi="Calibri"/>
          <w:color w:val="2E74B5"/>
          <w:sz w:val="30"/>
        </w:rPr>
        <w:t>3. Data Sourcing</w:t>
      </w:r>
    </w:p>
    <w:p w14:paraId="5066D7FC" w14:textId="7235843D" w:rsidR="00450052" w:rsidRDefault="00000000">
      <w:pPr>
        <w:spacing w:after="160"/>
      </w:pPr>
      <w:r>
        <w:rPr>
          <w:rFonts w:ascii="Calibri" w:hAnsi="Calibri"/>
        </w:rPr>
        <w:t>The first-choice source for every emission factor is Charm’s own live Standard Emission Factors sheet, itself sourced to GLEC Framework v3.2 for combustion and transport and to Green-E, USEPA, and GREET for grid electricity and renewable energy certificates.</w:t>
      </w:r>
      <w:r w:rsidR="006F1696">
        <w:rPr>
          <w:rFonts w:ascii="Calibri" w:hAnsi="Calibri"/>
        </w:rPr>
        <w:t xml:space="preserve"> This maximizes consistency across frameworks.</w:t>
      </w:r>
    </w:p>
    <w:p w14:paraId="1478C07B" w14:textId="77777777" w:rsidR="00450052" w:rsidRDefault="00000000">
      <w:pPr>
        <w:spacing w:after="160"/>
      </w:pPr>
      <w:r>
        <w:rPr>
          <w:rFonts w:ascii="Calibri" w:hAnsi="Calibri"/>
        </w:rPr>
        <w:t xml:space="preserve">Where Charm’s sheet does not cover a factor — refinery process energy, hydrogen, and the FCC carbon-conversion figure — the model cites named external sources directly: DOE’s 2015 refinery Bandwidth </w:t>
      </w:r>
      <w:r>
        <w:rPr>
          <w:rFonts w:ascii="Calibri" w:hAnsi="Calibri"/>
        </w:rPr>
        <w:lastRenderedPageBreak/>
        <w:t>Study; EPA 40 CFR Part 98 (Table MM-1 for VGO properties; Tables C-1/C-2 for the natural-gas-equivalent CO2e factor); EIA thermal conversion factors and EIA Petroleum Supply Monthly product-yield data; and IPCC AR6 (Table 7.15) global warming potentials.</w:t>
      </w:r>
    </w:p>
    <w:p w14:paraId="0F5015CD" w14:textId="77777777" w:rsidR="00450052" w:rsidRDefault="00000000">
      <w:pPr>
        <w:spacing w:after="160"/>
      </w:pPr>
      <w:r>
        <w:rPr>
          <w:rFonts w:ascii="Calibri" w:hAnsi="Calibri"/>
        </w:rPr>
        <w:t xml:space="preserve">Every input’s source, vintage, and data-quality rating </w:t>
      </w:r>
      <w:proofErr w:type="gramStart"/>
      <w:r>
        <w:rPr>
          <w:rFonts w:ascii="Calibri" w:hAnsi="Calibri"/>
        </w:rPr>
        <w:t>is</w:t>
      </w:r>
      <w:proofErr w:type="gramEnd"/>
      <w:r>
        <w:rPr>
          <w:rFonts w:ascii="Calibri" w:hAnsi="Calibri"/>
        </w:rPr>
        <w:t xml:space="preserve"> recorded in the workbook’s Assumptions &amp; Data Quality Log, the single register to check for the basis of any figure.</w:t>
      </w:r>
    </w:p>
    <w:p w14:paraId="508C77C2" w14:textId="77777777" w:rsidR="00450052" w:rsidRDefault="00000000">
      <w:pPr>
        <w:pStyle w:val="Heading1"/>
        <w:spacing w:before="280" w:after="120"/>
      </w:pPr>
      <w:r>
        <w:rPr>
          <w:rFonts w:ascii="Calibri" w:hAnsi="Calibri"/>
          <w:color w:val="2E74B5"/>
          <w:sz w:val="30"/>
        </w:rPr>
        <w:t>Status and Contact</w:t>
      </w:r>
    </w:p>
    <w:p w14:paraId="37DB2884" w14:textId="77777777" w:rsidR="00450052" w:rsidRDefault="00000000">
      <w:pPr>
        <w:spacing w:after="160"/>
      </w:pPr>
      <w:r>
        <w:rPr>
          <w:rFonts w:ascii="Calibri" w:hAnsi="Calibri"/>
        </w:rPr>
        <w:t>This model is a worked-example template: every yellow-highlighted input is a placeholder pending confirmation, as stated on the workbook’s own cover tab. Charm expects both the RSB-based refinery/attribution methodology and the E-Series/F-Series production targets to be refined as, respectively, Charm’s SAF verification pathway (a third-party methodology developer and registry) and internal techno-economic validation proceed. Questions on any specific figure should reference the Assumptions &amp; Data Quality Log or References tab, each of which cites the exact source clause behind the number in question.</w:t>
      </w:r>
    </w:p>
    <w:sectPr w:rsidR="0045005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4C1AC0" w14:textId="77777777" w:rsidR="00346A7C" w:rsidRDefault="00346A7C" w:rsidP="008C2C4A">
      <w:pPr>
        <w:spacing w:after="0" w:line="240" w:lineRule="auto"/>
      </w:pPr>
      <w:r>
        <w:separator/>
      </w:r>
    </w:p>
  </w:endnote>
  <w:endnote w:type="continuationSeparator" w:id="0">
    <w:p w14:paraId="3AAC2114" w14:textId="77777777" w:rsidR="00346A7C" w:rsidRDefault="00346A7C" w:rsidP="008C2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7C48C3" w14:textId="77777777" w:rsidR="00346A7C" w:rsidRDefault="00346A7C" w:rsidP="008C2C4A">
      <w:pPr>
        <w:spacing w:after="0" w:line="240" w:lineRule="auto"/>
      </w:pPr>
      <w:r>
        <w:separator/>
      </w:r>
    </w:p>
  </w:footnote>
  <w:footnote w:type="continuationSeparator" w:id="0">
    <w:p w14:paraId="2C450676" w14:textId="77777777" w:rsidR="00346A7C" w:rsidRDefault="00346A7C" w:rsidP="008C2C4A">
      <w:pPr>
        <w:spacing w:after="0" w:line="240" w:lineRule="auto"/>
      </w:pPr>
      <w:r>
        <w:continuationSeparator/>
      </w:r>
    </w:p>
  </w:footnote>
  <w:footnote w:id="1">
    <w:p w14:paraId="4D5004A2" w14:textId="1C279050" w:rsidR="008C2C4A" w:rsidRDefault="008C2C4A">
      <w:pPr>
        <w:pStyle w:val="FootnoteText"/>
      </w:pPr>
      <w:r>
        <w:rPr>
          <w:rStyle w:val="FootnoteReference"/>
        </w:rPr>
        <w:footnoteRef/>
      </w:r>
      <w:r>
        <w:t xml:space="preserve"> </w:t>
      </w:r>
      <w:r w:rsidR="00DC72AD">
        <w:t>Equipment embodied emissions are explicitly excluded</w:t>
      </w:r>
      <w:r w:rsidR="005E073E">
        <w:t xml:space="preserve"> from</w:t>
      </w:r>
      <w:r w:rsidR="005E7534">
        <w:t xml:space="preserve"> both voluntary and compliance renewable fuel certification schemes (RSB Global, ISCC Plus, CORSIA, LCFS, RFS). </w:t>
      </w:r>
      <w:r w:rsidR="005E7534" w:rsidRPr="005E7534">
        <w:t>The reason is scope mismatch: CDR measures impact against a counterfactual of project non-existence, thus all infrastructure counts against removal claims. Renewable fuels compare an emissions reduction vs. baseline "business as usual" production, so additional emissions attributable to project capital infrastructure is presumed to be minimal</w:t>
      </w:r>
    </w:p>
  </w:footnote>
  <w:footnote w:id="2">
    <w:p w14:paraId="70FBFF19" w14:textId="549DB2AE" w:rsidR="00823F51" w:rsidRDefault="00823F51">
      <w:pPr>
        <w:pStyle w:val="FootnoteText"/>
      </w:pPr>
      <w:r>
        <w:rPr>
          <w:rStyle w:val="FootnoteReference"/>
        </w:rPr>
        <w:footnoteRef/>
      </w:r>
      <w:r>
        <w:t xml:space="preserve"> The quantity and characteristics (C content, energy content) are held constant across all options to present a meaningful comparison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F23855"/>
    <w:multiLevelType w:val="hybridMultilevel"/>
    <w:tmpl w:val="F90E1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638923">
    <w:abstractNumId w:val="8"/>
  </w:num>
  <w:num w:numId="2" w16cid:durableId="770123080">
    <w:abstractNumId w:val="6"/>
  </w:num>
  <w:num w:numId="3" w16cid:durableId="2062972382">
    <w:abstractNumId w:val="5"/>
  </w:num>
  <w:num w:numId="4" w16cid:durableId="910040398">
    <w:abstractNumId w:val="4"/>
  </w:num>
  <w:num w:numId="5" w16cid:durableId="437256285">
    <w:abstractNumId w:val="7"/>
  </w:num>
  <w:num w:numId="6" w16cid:durableId="786658325">
    <w:abstractNumId w:val="3"/>
  </w:num>
  <w:num w:numId="7" w16cid:durableId="1368871739">
    <w:abstractNumId w:val="2"/>
  </w:num>
  <w:num w:numId="8" w16cid:durableId="1528442242">
    <w:abstractNumId w:val="1"/>
  </w:num>
  <w:num w:numId="9" w16cid:durableId="130943855">
    <w:abstractNumId w:val="0"/>
  </w:num>
  <w:num w:numId="10" w16cid:durableId="97861068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387"/>
    <w:rsid w:val="0015074B"/>
    <w:rsid w:val="00294B74"/>
    <w:rsid w:val="0029639D"/>
    <w:rsid w:val="00326F90"/>
    <w:rsid w:val="00346A7C"/>
    <w:rsid w:val="00375008"/>
    <w:rsid w:val="00450052"/>
    <w:rsid w:val="00540A75"/>
    <w:rsid w:val="005E073E"/>
    <w:rsid w:val="005E7534"/>
    <w:rsid w:val="00602D08"/>
    <w:rsid w:val="00662C8F"/>
    <w:rsid w:val="006F1696"/>
    <w:rsid w:val="00806D1F"/>
    <w:rsid w:val="00823F51"/>
    <w:rsid w:val="008371E8"/>
    <w:rsid w:val="008C2C4A"/>
    <w:rsid w:val="00AA1D8D"/>
    <w:rsid w:val="00B47730"/>
    <w:rsid w:val="00CB0664"/>
    <w:rsid w:val="00DB48A1"/>
    <w:rsid w:val="00DC72AD"/>
    <w:rsid w:val="00DE1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BB2D6"/>
  <w14:defaultImageDpi w14:val="300"/>
  <w15:docId w15:val="{542CA29B-2122-4E41-B61A-7A9837967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2C4A"/>
    <w:rPr>
      <w:color w:val="0000FF" w:themeColor="hyperlink"/>
      <w:u w:val="single"/>
    </w:rPr>
  </w:style>
  <w:style w:type="character" w:styleId="UnresolvedMention">
    <w:name w:val="Unresolved Mention"/>
    <w:basedOn w:val="DefaultParagraphFont"/>
    <w:uiPriority w:val="99"/>
    <w:semiHidden/>
    <w:unhideWhenUsed/>
    <w:rsid w:val="008C2C4A"/>
    <w:rPr>
      <w:color w:val="605E5C"/>
      <w:shd w:val="clear" w:color="auto" w:fill="E1DFDD"/>
    </w:rPr>
  </w:style>
  <w:style w:type="paragraph" w:styleId="FootnoteText">
    <w:name w:val="footnote text"/>
    <w:basedOn w:val="Normal"/>
    <w:link w:val="FootnoteTextChar"/>
    <w:uiPriority w:val="99"/>
    <w:semiHidden/>
    <w:unhideWhenUsed/>
    <w:rsid w:val="008C2C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2C4A"/>
    <w:rPr>
      <w:sz w:val="20"/>
      <w:szCs w:val="20"/>
    </w:rPr>
  </w:style>
  <w:style w:type="character" w:styleId="FootnoteReference">
    <w:name w:val="footnote reference"/>
    <w:basedOn w:val="DefaultParagraphFont"/>
    <w:uiPriority w:val="99"/>
    <w:semiHidden/>
    <w:unhideWhenUsed/>
    <w:rsid w:val="008C2C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jrBJUKE6kZknHaSpOsMJdvj1B7zaP4cY/edit?gid=179944836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1397</Words>
  <Characters>7966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8</cp:revision>
  <dcterms:created xsi:type="dcterms:W3CDTF">2013-12-23T23:15:00Z</dcterms:created>
  <dcterms:modified xsi:type="dcterms:W3CDTF">2026-09-08T16:06:00Z</dcterms:modified>
  <cp:category/>
</cp:coreProperties>
</file>