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Summary: The AIM Platform Standard &amp; Guidance, V1.0</w:t>
      </w:r>
    </w:p>
    <w:p>
      <w:r>
        <w:rPr>
          <w:i/>
        </w:rPr>
        <w:t>Published April 2026 by the AIM Platform (Advanced and Indirect Mitigation Platform), convened by the Center for Green Market Activation, Gold Standard, and Center for Climate and Energy Solutions (C2ES).</w:t>
      </w:r>
    </w:p>
    <w:p>
      <w:r>
        <w:t>Source: AIM-Platform_Standard-and-Guidance_V1.0.pdf, 120 pages. Read in full for this summary; every claim below carries its own page citation.</w:t>
      </w:r>
    </w:p>
    <w:p/>
    <w:p>
      <w:pPr>
        <w:pStyle w:val="Heading2"/>
      </w:pPr>
      <w:r>
        <w:t>What the AIM Standard is</w:t>
      </w:r>
    </w:p>
    <w:p>
      <w:r>
        <w:t>The AIM Standard is a voluntary framework that tells companies when they are allowed to count a "value chain intervention" — a purchase, investment, or agreement that reduces emissions somewhere else in their supply chain — toward their own scope 3 (indirect/supply-chain) emissions reporting and climate targets, even though that action does not show up as a physical reduction inside their own operations (p.5–6).</w:t>
      </w:r>
    </w:p>
    <w:p>
      <w:pPr>
        <w:ind w:left="432"/>
      </w:pPr>
      <w:r>
        <w:rPr>
          <w:i/>
        </w:rPr>
        <w:t>"Corporate action to address value chain emissions represent a massive opportunity to catalyze investment in decarbonization solutions... One of the main barriers is determining whether an intervention is sufficiently associated with a company's value chain to be eligible for inclusion in corporate reporting and contribute to achievement of climate targets."</w:t>
      </w:r>
      <w:r>
        <w:rPr>
          <w:i/>
        </w:rPr>
        <w:t xml:space="preserve">  — p.5 (Executive Summary)</w:t>
      </w:r>
    </w:p>
    <w:p>
      <w:pPr>
        <w:ind w:left="432"/>
      </w:pPr>
      <w:r>
        <w:rPr>
          <w:i/>
        </w:rPr>
        <w:t>"The AIM Standard is written to support value chain interventions that are not directly implemented through traceable purchasing decisions, product redesign, or supplier and customer engagement."</w:t>
      </w:r>
      <w:r>
        <w:rPr>
          <w:i/>
        </w:rPr>
        <w:t xml:space="preserve">  — p.6</w:t>
      </w:r>
    </w:p>
    <w:p>
      <w:r>
        <w:t>It is a companion to the GHG Protocol and SBTi (Science Based Targets initiative) rather than a replacement: it does not decide what counts in a company's physical inventory or what counts toward a science-based target — those calls stay with GHG Protocol and SBTi (p.11, footnote 4).</w:t>
      </w:r>
    </w:p>
    <w:p>
      <w:pPr>
        <w:ind w:left="432"/>
      </w:pPr>
      <w:r>
        <w:rPr>
          <w:i/>
        </w:rPr>
        <w:t>"The AIM Platform does not determine what is included in a GHG inventory or what qualifies toward a science-based target."</w:t>
      </w:r>
      <w:r>
        <w:rPr>
          <w:i/>
        </w:rPr>
        <w:t xml:space="preserve">  — p.11, footnote 4</w:t>
      </w:r>
    </w:p>
    <w:p>
      <w:pPr>
        <w:ind w:left="432"/>
      </w:pPr>
      <w:r>
        <w:rPr>
          <w:i/>
        </w:rPr>
        <w:t>"While the AIM Platform does not make decisions for existing standards, the intention is for interventions that meet the requirements set out in the AIM Standard to be reportable under leading accounting and reporting standards and counted towards climate targets set pursuant to leading climate target-setting standards."</w:t>
      </w:r>
      <w:r>
        <w:rPr>
          <w:i/>
        </w:rPr>
        <w:t xml:space="preserve">  — p.11</w:t>
      </w:r>
    </w:p>
    <w:p/>
    <w:p>
      <w:pPr>
        <w:pStyle w:val="Heading2"/>
      </w:pPr>
      <w:r>
        <w:t>The five-step process (p.13–14, Figure 3)</w:t>
      </w:r>
    </w:p>
    <w:p>
      <w:r>
        <w:t>The standard walks a company through five stages: (1) lay the foundations — map its scope 3 inventory and supply chain, (2) demonstrate association — prove the intervention actually connects to that inventory, (3) implement the intervention, (4) assess quality — confirm the intervention host meets the quality bar, and (5) quantify, account for, and report the outcome (p.13–14, Figure 3). Two chapters carry the bulk of the technical requirements — Chapter 4 (the "Association Test") and Chapter 5 (the "Quality" criteria) — together referred to in the document as the "QAR" (Quality, Accounting, and Reporting) Standard (p.6).</w:t>
      </w:r>
    </w:p>
    <w:p>
      <w:pPr>
        <w:ind w:left="432"/>
      </w:pPr>
      <w:r>
        <w:rPr>
          <w:i/>
        </w:rPr>
        <w:t>"The AIM Standard is a unified framework that integrates two complementary elements drafted by the AIM Platform: 1) the Association Test, and 2) the Intervention Quality, Accounting, and Reporting (QAR) Standard and Guidance."</w:t>
      </w:r>
      <w:r>
        <w:rPr>
          <w:i/>
        </w:rPr>
        <w:t xml:space="preserve">  — p.6</w:t>
      </w:r>
    </w:p>
    <w:p/>
    <w:p>
      <w:pPr>
        <w:pStyle w:val="Heading2"/>
      </w:pPr>
      <w:r>
        <w:t>Chapter 4 — The Association Test: does this intervention even count? (p.15)</w:t>
      </w:r>
    </w:p>
    <w:p>
      <w:r>
        <w:t>This is the gatekeeping test, with two parts a company must pass (p.15–30).</w:t>
      </w:r>
    </w:p>
    <w:p>
      <w:pPr>
        <w:pStyle w:val="Heading3"/>
      </w:pPr>
      <w:r>
        <w:t>Part 1: Basic Association</w:t>
      </w:r>
    </w:p>
    <w:p>
      <w:pPr>
        <w:ind w:left="432"/>
      </w:pPr>
      <w:r>
        <w:rPr>
          <w:i/>
        </w:rPr>
        <w:t>"To pass Basic Association, the intervention shall address an emissions source that is included in the company's value chain as part of their physical inventory. The emissions source can be in the physical inventory as a component or subcomponent."</w:t>
      </w:r>
      <w:r>
        <w:rPr>
          <w:i/>
        </w:rPr>
        <w:t xml:space="preserve">  — p.17</w:t>
      </w:r>
    </w:p>
    <w:p>
      <w:r>
        <w:t>The intervention has to be fixing an emissions source that is already sitting somewhere in the company's own scope 3 inventory — a purchased good, a sold product, or an input/output to either of those (p.16–17).</w:t>
      </w:r>
    </w:p>
    <w:p>
      <w:pPr>
        <w:pStyle w:val="Heading3"/>
      </w:pPr>
      <w:r>
        <w:t>Part 2: Further Association — one of three routes</w:t>
      </w:r>
    </w:p>
    <w:p>
      <w:r>
        <w:t>Having a physical-inventory link is not enough on its own; the company must also show a real-world relationship between itself and whoever is carrying out the intervention (p.20):</w:t>
      </w:r>
    </w:p>
    <w:p>
      <w:pPr>
        <w:ind w:left="432"/>
      </w:pPr>
      <w:r>
        <w:rPr>
          <w:i/>
        </w:rPr>
        <w:t>"Interventions shall meet the requirements of one of the following three Further Association methods: Supplier or Customer, Sourcing or Use Region, Critical Sector. If using the Critical Sector method, companies shall justify the barriers to using the other two methods."</w:t>
      </w:r>
      <w:r>
        <w:rPr>
          <w:i/>
        </w:rPr>
        <w:t xml:space="preserve">  — p.20</w:t>
      </w:r>
    </w:p>
    <w:p>
      <w:r>
        <w:t>Supplier or Customer method — the intervention host is an existing supplier or customer of the company's at the moment the deal is signed.</w:t>
      </w:r>
    </w:p>
    <w:p>
      <w:pPr>
        <w:ind w:left="432"/>
      </w:pPr>
      <w:r>
        <w:rPr>
          <w:i/>
        </w:rPr>
        <w:t>"To pass the Supplier or Customer method, companies shall demonstrate that the intervention host is a supplier or a customer of the targeted (sub)component at the time of signing a binding intervention agreement."</w:t>
      </w:r>
      <w:r>
        <w:rPr>
          <w:i/>
        </w:rPr>
        <w:t xml:space="preserve">  — p.22, §4.3.1</w:t>
      </w:r>
    </w:p>
    <w:p>
      <w:r>
        <w:t>The standard permits mismatch at the facility level (p.23):</w:t>
      </w:r>
    </w:p>
    <w:p>
      <w:pPr>
        <w:ind w:left="432"/>
      </w:pPr>
      <w:r>
        <w:rPr>
          <w:i/>
        </w:rPr>
        <w:t>"Companies are not required to trace interventions to the specific facility producing the sourced (sub)components but rather only to a facility of the supplier that produces the sourced (sub)component."</w:t>
      </w:r>
      <w:r>
        <w:rPr>
          <w:i/>
        </w:rPr>
        <w:t xml:space="preserve">  — p.23</w:t>
      </w:r>
    </w:p>
    <w:p>
      <w:r>
        <w:t>Worked example from the standard, p.23: Company A funds a project with Supplier Y, who produces a key input at two facilities (A and B). Company A buys that input from Facility B, but the intervention runs at Facility A. Per the quote above, that still passes; and if Supplier Y later stops supplying Company A, the claim still stands because the relationship existed at signing (p.23).</w:t>
      </w:r>
    </w:p>
    <w:p>
      <w:r>
        <w:t>Sourcing or Use Region method — the intervention happens in the same geographic region the company already sources its input from, or sells its product into.</w:t>
      </w:r>
    </w:p>
    <w:p>
      <w:pPr>
        <w:ind w:left="432"/>
      </w:pPr>
      <w:r>
        <w:rPr>
          <w:i/>
        </w:rPr>
        <w:t>"To pass the Sourcing or Use Region method, companies shall demonstrate that the intervention is located within the same sourcing or use region as a targeted (sub)component."</w:t>
      </w:r>
      <w:r>
        <w:rPr>
          <w:i/>
        </w:rPr>
        <w:t xml:space="preserve">  — p.23, §4.3.2</w:t>
      </w:r>
    </w:p>
    <w:p>
      <w:r>
        <w:t>The standard sets a preference order for how tightly that region can be defined — sub-national area first, then country of origin, then a broader multi-country region if neither is knowable (p.25, Table 5). Worked example from the standard, p.24: a food and beverage company sources 85% of its corn from a food hub in Iowa but cannot trace to individual farms; the food hub itself qualifies as the sourcing region, so an intervention at a farm supplying that hub passes.</w:t>
      </w:r>
    </w:p>
    <w:p>
      <w:r>
        <w:t>Critical Sector method — reserved for cases where the other two routes are not achievable, and limited to a fixed list of sectors the standard treats as strategically important to decarbonize.</w:t>
      </w:r>
    </w:p>
    <w:p>
      <w:pPr>
        <w:ind w:left="432"/>
      </w:pPr>
      <w:r>
        <w:rPr>
          <w:i/>
        </w:rPr>
        <w:t>"To pass the Critical Sector method, companies shall demonstrate that the intervention supports decarbonization in a critical sector."</w:t>
      </w:r>
      <w:r>
        <w:rPr>
          <w:i/>
        </w:rPr>
        <w:t xml:space="preserve">  — p.27, §4.3.3</w:t>
      </w:r>
    </w:p>
    <w:p>
      <w:r>
        <w:t>A company using this route must also justify why the Supplier/Customer and Sourcing/Use Region methods were not achievable (p.20). The named critical sectors are aluminum, cement/concrete, steel, chemicals (split into "ammonia" and "HVCs" as sub-categories — the document does not spell out what "HVCs" stands for), aviation, maritime shipping, and heavy-duty trucking (p.27–30). Within Critical Sector there are three qualifying routes: the intervention is on the standard's named critical-technologies list (Table 7, p.28–29 — e.g., a blast furnace with carbon capture at over 75% capture rate, for steel); or it beats a fixed "decarbonization potential threshold" for that sector against a credible baseline (Table 8, p.29 — e.g., 60% for aviation and steel, 50% for cement/concrete, 70% for ammonia); or the company documents its own qualitative/quantitative justification (Table 9, p.30).</w:t>
      </w:r>
    </w:p>
    <w:p/>
    <w:p>
      <w:pPr>
        <w:pStyle w:val="Heading2"/>
      </w:pPr>
      <w:r>
        <w:t>Chapter 5 — Intervention Quality: is it a good, trustworthy intervention? (p.31)</w:t>
      </w:r>
    </w:p>
    <w:p>
      <w:r>
        <w:t>Association is a precondition, not the whole test — Chapter 5 sets five separate quality bars the intervention host must clear, demonstrated through some combination of three mechanisms: a signed agreement, independent third-party assurance, and a system of record (p.31–32).</w:t>
      </w:r>
    </w:p>
    <w:p>
      <w:pPr>
        <w:ind w:left="432"/>
      </w:pPr>
      <w:r>
        <w:rPr>
          <w:i/>
        </w:rPr>
        <w:t>"To meet the requirements for intervention quality, reporting companies need to ensure that intervention hosts/suppliers: Convey an accurate emissions outcome. Mitigate negative social and environmental impacts. Demonstrate regulatory surplus. Mitigate double counting risks. Ensure timely delivery of intervention information."</w:t>
      </w:r>
      <w:r>
        <w:rPr>
          <w:i/>
        </w:rPr>
        <w:t xml:space="preserve">  — p.31</w:t>
      </w:r>
    </w:p>
    <w:p>
      <w:pPr>
        <w:pStyle w:val="Heading3"/>
      </w:pPr>
      <w:r>
        <w:t>Criterion 1: Accurate Emissions Outcome (§5.4, p.42–45)</w:t>
      </w:r>
    </w:p>
    <w:p>
      <w:pPr>
        <w:ind w:left="432"/>
      </w:pPr>
      <w:r>
        <w:rPr>
          <w:i/>
        </w:rPr>
        <w:t>"In order to enable accurate emissions accounting and reporting of value chain interventions, intervention hosts must calculate intervention outcomes in line with a standard or methodology that details comprehensive emissions accounting practices, and be independently assessed to that standard or methodology."</w:t>
      </w:r>
      <w:r>
        <w:rPr>
          <w:i/>
        </w:rPr>
        <w:t xml:space="preserve">  — p.42</w:t>
      </w:r>
    </w:p>
    <w:p>
      <w:pPr>
        <w:ind w:left="432"/>
      </w:pPr>
      <w:r>
        <w:rPr>
          <w:i/>
        </w:rPr>
        <w:t>"The outcomes of interventions shall be calculated to reflect what is physically or chemically possible within the defined system boundary of the intervention... The outcomes of interventions shall be found to result from the specific implemented technology and/or process change."</w:t>
      </w:r>
      <w:r>
        <w:rPr>
          <w:i/>
        </w:rPr>
        <w:t xml:space="preserve">  — p.44</w:t>
      </w:r>
    </w:p>
    <w:p>
      <w:r>
        <w:t>The standard's worked example (p.45): a fuel producer blends 5% Used Cooking Oil (UCO) with 95% crude oil and must attribute the lower-carbon benefit across its output fuels (diesel, kerosene, naphtha) either proportionally (each output gets exactly its 5% share) or "non-proportionally"/"flexible assignment" (concentrated onto specific batches, so long as the total claimed across all outputs never exceeds the actual 5% UCO input volume) (p.45).</w:t>
      </w:r>
    </w:p>
    <w:p>
      <w:pPr>
        <w:pStyle w:val="Heading3"/>
      </w:pPr>
      <w:r>
        <w:t>Criterion 2: Social and Environmental Impacts (§5.5, p.46–49)</w:t>
      </w:r>
    </w:p>
    <w:p>
      <w:pPr>
        <w:ind w:left="432"/>
      </w:pPr>
      <w:r>
        <w:rPr>
          <w:i/>
        </w:rPr>
        <w:t>"Companies funding interventions have an obligation to minimize any harmful impacts of those actions and to ensure interested and affected stakeholders are consulted, where relevant."</w:t>
      </w:r>
      <w:r>
        <w:rPr>
          <w:i/>
        </w:rPr>
        <w:t xml:space="preserve">  — p.46</w:t>
      </w:r>
    </w:p>
    <w:p>
      <w:pPr>
        <w:ind w:left="432"/>
      </w:pPr>
      <w:r>
        <w:rPr>
          <w:i/>
        </w:rPr>
        <w:t>"Intervention hosts shall apply sound stakeholder engagement practices and social and environmental safeguards to mitigate the risk of adverse social and environmental impacts, according to one or more appropriate standards or methodologies."</w:t>
      </w:r>
      <w:r>
        <w:rPr>
          <w:i/>
        </w:rPr>
        <w:t xml:space="preserve">  — p.46</w:t>
      </w:r>
    </w:p>
    <w:p>
      <w:r>
        <w:t>Table 12 (p.48) lists the specific dimensions a safeguard framework can cover: socially, legality, human and labor rights, land rights, community/rural development, and local food security; environmentally, water, air quality, waste management, conservation, soil, and animal welfare. The document states that not all criteria will be material to every intervention (p.47).</w:t>
      </w:r>
    </w:p>
    <w:p>
      <w:pPr>
        <w:pStyle w:val="Heading3"/>
      </w:pPr>
      <w:r>
        <w:t>Criterion 3: Regulatory Surplus (§5.6, p.49–51)</w:t>
      </w:r>
    </w:p>
    <w:p>
      <w:pPr>
        <w:ind w:left="432"/>
      </w:pPr>
      <w:r>
        <w:rPr>
          <w:i/>
        </w:rPr>
        <w:t>"Regulatory surplus means that intervention outcomes were not created through actions that were required by regulation or law applicable to the host or by another company in the host's immediate supply chain."</w:t>
      </w:r>
      <w:r>
        <w:rPr>
          <w:i/>
        </w:rPr>
        <w:t xml:space="preserve">  — p.50</w:t>
      </w:r>
    </w:p>
    <w:p>
      <w:pPr>
        <w:ind w:left="432"/>
      </w:pPr>
      <w:r>
        <w:rPr>
          <w:i/>
        </w:rPr>
        <w:t>"Intervention outcomes, when reported by a company in a contractual inventory or impact statement, shall represent emissions benefits that exceed regulatory requirements placed on the intervention host or another entity in its immediate supply chain."</w:t>
      </w:r>
      <w:r>
        <w:rPr>
          <w:i/>
        </w:rPr>
        <w:t xml:space="preserve">  — p.49</w:t>
      </w:r>
    </w:p>
    <w:p>
      <w:r>
        <w:t>The standard gives two worked shapes (p.50): a downstream case — the intervention host is a fuel producer and the transport company buying the fuel uses it to meet its own regulatory mandate; and an upstream case — the intervention host is a concrete producer using low-emissions cement, and its cement supplier uses that cement to meet a regulatory requirement of its own.</w:t>
      </w:r>
    </w:p>
    <w:p>
      <w:pPr>
        <w:pStyle w:val="Heading3"/>
      </w:pPr>
      <w:r>
        <w:t>Criterion 4: Unique Right to Report (§5.7, p.51–55)</w:t>
      </w:r>
    </w:p>
    <w:p>
      <w:pPr>
        <w:ind w:left="432"/>
      </w:pPr>
      <w:r>
        <w:rPr>
          <w:i/>
        </w:rPr>
        <w:t>"A unique right to report means the company has the sole ability to claim the emissions outcomes associated with an intervention within a specific value chain layer."</w:t>
      </w:r>
      <w:r>
        <w:rPr>
          <w:i/>
        </w:rPr>
        <w:t xml:space="preserve">  — p.51</w:t>
      </w:r>
    </w:p>
    <w:p>
      <w:r>
        <w:t>The standard names three double-counting failure modes at p.51: "double selling" (the host sells the same outcome to more than one buyer), "double issuance" (the same intervention record created more than once), and "double claiming" (two companies in the same value chain layer both claim the same outcome). Claiming by different companies across different value chain layers is explicitly permitted under "co-claiming" (p.53–54). The standard's own diagram (p.54, Figures 8–9) shows a Sustainable Aviation Fuel (SAF) producer making 150 tonnes of SAF, split across two passenger airlines and one freight airline (50 tonnes each) in one layer, with the freight airline's share passing to a freight forwarder and then splitting again across eight corporate customers downstream — each layer validly claims its own slice, provided only one party per layer claims any given unit.</w:t>
      </w:r>
    </w:p>
    <w:p>
      <w:pPr>
        <w:pStyle w:val="Heading3"/>
      </w:pPr>
      <w:r>
        <w:t>Criterion 5: Record Creation Timing (§5.8, p.56–57)</w:t>
      </w:r>
    </w:p>
    <w:p>
      <w:pPr>
        <w:ind w:left="432"/>
      </w:pPr>
      <w:r>
        <w:rPr>
          <w:i/>
        </w:rPr>
        <w:t>"Intervention outcomes shall occur prior to the creation of their record in the system of record. Intervention records, at issuance, shall reflect the results of an audit."</w:t>
      </w:r>
      <w:r>
        <w:rPr>
          <w:i/>
        </w:rPr>
        <w:t xml:space="preserve">  — p.56</w:t>
      </w:r>
    </w:p>
    <w:p>
      <w:r>
        <w:t>The record that lets a company claim an intervention can only be created after the real-world action occurred, and must show at least one completed audit at issuance, not a promised future one (p.56–57).</w:t>
      </w:r>
    </w:p>
    <w:p/>
    <w:p>
      <w:pPr>
        <w:pStyle w:val="Heading2"/>
      </w:pPr>
      <w:r>
        <w:t>Chapter 6 — quantification: two methods, chosen by data type, not preference (p.61–62)</w:t>
      </w:r>
    </w:p>
    <w:p>
      <w:pPr>
        <w:ind w:left="432"/>
      </w:pPr>
      <w:r>
        <w:rPr>
          <w:i/>
        </w:rPr>
        <w:t>"The AIM Standard provides two pathways to demonstrate conformance with the quantity matching and accounting requirements: 1) the Product Matching method with the Substitution accounting approach, and 2) the Emissions Matching method. The pathway a company uses will depend on the units provided for the intervention outcome in the intervention record, and the type of data available for its targeted (sub)component(s) in its physical inventory."</w:t>
      </w:r>
      <w:r>
        <w:rPr>
          <w:i/>
        </w:rPr>
        <w:t xml:space="preserve">  — p.62</w:t>
      </w:r>
    </w:p>
    <w:p>
      <w:pPr>
        <w:pStyle w:val="Heading3"/>
      </w:pPr>
      <w:r>
        <w:t>Method 1: Product Matching + Substitution</w:t>
      </w:r>
    </w:p>
    <w:p>
      <w:r>
        <w:t>Applies when the intervention's benefit and the company's own inventory tracking are in the same physical unit (tonnes, tonne-kilometers, etc.), not dollars, not a lump CO2e figure.</w:t>
      </w:r>
    </w:p>
    <w:p>
      <w:pPr>
        <w:ind w:left="432"/>
      </w:pPr>
      <w:r>
        <w:rPr>
          <w:i/>
        </w:rPr>
        <w:t>"The Product Matching method is appropriate when the intervention outcome is conveyed as an emissions intensity in units of volume of an activity output or product, and those units are the same as the units in which the targeted (sub)components are tracked. Examples of volumes of activities or product include, but are not limited to, tonne-miles of trucking service, cubic yards of garment, tonnes of corn, passenger-kilometers traveled, etc."</w:t>
      </w:r>
      <w:r>
        <w:rPr>
          <w:i/>
        </w:rPr>
        <w:t xml:space="preserve">  — p.63, §6.1.1</w:t>
      </w:r>
    </w:p>
    <w:p>
      <w:r>
        <w:t>"Substitution" is the accounting move once units match — the intervention's cleaner rate is swapped in for the dirtier rate on that slice of inventory.</w:t>
      </w:r>
    </w:p>
    <w:p>
      <w:pPr>
        <w:ind w:left="432"/>
      </w:pPr>
      <w:r>
        <w:rPr>
          <w:i/>
        </w:rPr>
        <w:t>"To accurately account for intervention outcomes in a contractual inventory (Section 7.1), companies will need to apply the Substitution accounting approach to the quantity of intervention outcomes that met the requirements of the Product Matching method. Through this, the emissions intensity of the intervention is substituted in place of the emissions intensity of the (sub)component(s)."</w:t>
      </w:r>
      <w:r>
        <w:rPr>
          <w:i/>
        </w:rPr>
        <w:t xml:space="preserve">  — p.64, §6.1.2</w:t>
      </w:r>
    </w:p>
    <w:p>
      <w:r>
        <w:t>A hard cap applies:</w:t>
      </w:r>
    </w:p>
    <w:p>
      <w:pPr>
        <w:ind w:left="432"/>
      </w:pPr>
      <w:r>
        <w:rPr>
          <w:i/>
        </w:rPr>
        <w:t>"Companies shall ensure that the quantity of the outcomes applied to their targeted (sub)components does not exceed the quantity of those (sub)components in any given year's physical inventory."</w:t>
      </w:r>
      <w:r>
        <w:rPr>
          <w:i/>
        </w:rPr>
        <w:t xml:space="preserve">  — p.61</w:t>
      </w:r>
    </w:p>
    <w:p>
      <w:r>
        <w:t>Excess beyond that cap goes to another reporting year or to "beyond value chain" reporting (p.64, Table 13).</w:t>
      </w:r>
    </w:p>
    <w:p>
      <w:pPr>
        <w:pStyle w:val="Heading3"/>
      </w:pPr>
      <w:r>
        <w:t>Worked example (Table 13, p.64; drayage example p.66)</w:t>
      </w:r>
    </w:p>
    <w:p>
      <w:r>
        <w:t>A company's inventory holds 1,000,000 tonne-km of trucking activity for the year. It buys a zero-emissions trucking certificate covering 1,500,000 tonne-km. Per the p.61 cap, only 1,000,000 tonne-km can be matched; the remaining 500,000 carries to another reporting year or is reported beyond value chain (p.64). Separately, a drayage example (p.66) works the substitution arithmetic: 20,000 t-km of diesel drayage at 77 gCO2e/t-km sits in the physical inventory; the company buys 15,000 t-km of zero-emissions EACs (0 gCO2e/t-km) whose baseline also equals 77 gCO2e/t-km. The physical inventory would show 1,540 kg CO2e (20,000 × 77); the contractual inventory instead shows 385 kg CO2e (15,000 t-km × 0 gCO2e/t-km, plus 5,000 t-km still at 77 gCO2e/t-km) (p.66).</w:t>
      </w:r>
    </w:p>
    <w:p>
      <w:pPr>
        <w:pStyle w:val="Heading3"/>
      </w:pPr>
      <w:r>
        <w:t>Method 2: Emissions Matching</w:t>
      </w:r>
    </w:p>
    <w:p>
      <w:r>
        <w:t>The method used when Product Matching's unit-match condition isn't met (p.67, §6.2).</w:t>
      </w:r>
    </w:p>
    <w:p>
      <w:pPr>
        <w:ind w:left="432"/>
      </w:pPr>
      <w:r>
        <w:rPr>
          <w:i/>
        </w:rPr>
        <w:t>"Companies will use the Emissions Matching method when the intervention outcome is conveyed as a change in emissions (emissions reduced, avoided, or removed) compared to a project or intervention baseline. The Emissions Matching method is also appropriate when Product Matching cannot be performed because the targeted (sub)component's units are denominated in tonnes of CO2e or otherwise cannot or have not been converted to units of activity output that match the units of the intervention outcome, or because the Substitution accounting approach cannot be performed due to lack of appropriate data."</w:t>
      </w:r>
      <w:r>
        <w:rPr>
          <w:i/>
        </w:rPr>
        <w:t xml:space="preserve">  — p.67, §6.2</w:t>
      </w:r>
    </w:p>
    <w:p>
      <w:pPr>
        <w:ind w:left="432"/>
      </w:pPr>
      <w:r>
        <w:rPr>
          <w:i/>
        </w:rPr>
        <w:t>"To conform with the Emissions Matching method, an intervention cannot reduce a quantity of emissions greater than the proportion of the (sub)component's total emissions that come from the specific process targeted by the intervention."</w:t>
      </w:r>
      <w:r>
        <w:rPr>
          <w:i/>
        </w:rPr>
        <w:t xml:space="preserve">  — p.67</w:t>
      </w:r>
    </w:p>
    <w:p>
      <w:pPr>
        <w:pStyle w:val="Heading3"/>
      </w:pPr>
      <w:r>
        <w:t>Worked example (Table 14, p.68)</w:t>
      </w:r>
    </w:p>
    <w:p>
      <w:r>
        <w:t>A company's purchased ice cream (inventory item) totals 10,000 tonnes CO2e for the year. A life-cycle study attributes 25% of that — 2,500 tonnes CO2e — to on-farm manure methane, the process the intervention targets. The intervention (an anaerobic digester) is shown to cut emissions 60% relative to baseline, so the "maximum addressable quantity" is 2,500 × 60% = 1,500 tonnes CO2e. The digester actually captures 1,400 tonnes CO2e that year; since 1,400 is less than or equal to 1,500, the full 1,400 tonnes qualifies and is reported as a negative value in the impact statement (p.68).</w:t>
      </w:r>
    </w:p>
    <w:p>
      <w:pPr>
        <w:pStyle w:val="Heading3"/>
      </w:pPr>
      <w:r>
        <w:t>The two methods, per the standard's own steps</w:t>
      </w:r>
    </w:p>
    <w:p>
      <w:pPr>
        <w:pStyle w:val="ListBullet"/>
      </w:pPr>
      <w:r>
        <w:t>Product Matching + Substitution: used when intervention and inventory item share a physical unit, substituted directly and capped at inventory quantity, reported in the contractual inventory (p.63–66).</w:t>
      </w:r>
    </w:p>
    <w:p>
      <w:pPr>
        <w:pStyle w:val="ListBullet"/>
      </w:pPr>
      <w:r>
        <w:t>Emissions Matching: used when the intervention record only conveys a change in CO2e or the inventory item can't be unit-matched, with the claim capped at the intervention's reduction percentage against an LCA-derived targeted slice, reported in the impact statement as a negative value (p.67–68).</w:t>
      </w:r>
    </w:p>
    <w:p/>
    <w:p>
      <w:pPr>
        <w:pStyle w:val="Heading2"/>
      </w:pPr>
      <w:r>
        <w:t>Chapter 7 — Reporting: three ledgers, kept strictly apart (p.71, §7.1)</w:t>
      </w:r>
    </w:p>
    <w:p>
      <w:pPr>
        <w:ind w:left="432"/>
      </w:pPr>
      <w:r>
        <w:rPr>
          <w:i/>
        </w:rPr>
        <w:t>"Chapter 7 introduces two statements companies can use to report those relative intervention outcomes: a contractual inventory and an impact statement."</w:t>
      </w:r>
      <w:r>
        <w:rPr>
          <w:i/>
        </w:rPr>
        <w:t xml:space="preserve">  — p.71, §7.1</w:t>
      </w:r>
    </w:p>
    <w:p>
      <w:pPr>
        <w:ind w:left="432"/>
      </w:pPr>
      <w:r>
        <w:rPr>
          <w:i/>
        </w:rPr>
        <w:t>"Companies shall report a complete physical inventory separately from any reporting of intervention outcomes."</w:t>
      </w:r>
      <w:r>
        <w:rPr>
          <w:i/>
        </w:rPr>
        <w:t xml:space="preserve">  — p.71, §7.1</w:t>
      </w:r>
    </w:p>
    <w:p>
      <w:pPr>
        <w:pStyle w:val="Heading3"/>
      </w:pPr>
      <w:r>
        <w:t>The three statements, defined</w:t>
      </w:r>
    </w:p>
    <w:p>
      <w:pPr>
        <w:pStyle w:val="ListBullet"/>
      </w:pPr>
      <w:r>
        <w:t>Physical Inventory — "The physical emissions inventory is the scope 3 GHG emissions inventory prepared according to current GHG Protocol scope 3 emissions reporting requirements" (p.72, §7.1.1).</w:t>
      </w:r>
    </w:p>
    <w:p>
      <w:pPr>
        <w:pStyle w:val="ListBullet"/>
      </w:pPr>
      <w:r>
        <w:t>Contractual Inventory — "The contractual emissions inventory is where reporting companies can report intervention outcomes relevant to (sub)components in the physical inventory following quantification using the Product Matching with Substitution (Section 6.1)" (p.72, §7.1.2).</w:t>
      </w:r>
    </w:p>
    <w:p>
      <w:pPr>
        <w:pStyle w:val="ListBullet"/>
      </w:pPr>
      <w:r>
        <w:t>Impact Statement — "The third ledger captures impact statements, which are the intervention outcomes quantified against inventory (sub)components following the Emissions Matching method... Impact statements are reported as a negative mass of CO2e" (p.73, §7.1.3).</w:t>
      </w:r>
    </w:p>
    <w:p>
      <w:pPr>
        <w:pStyle w:val="ListBullet"/>
      </w:pPr>
      <w:r>
        <w:t>Beyond Value Chain — a fourth bucket outside all three, where leftover intervention outcome goes once it exceeds what a company can match to its own inventory in a given year (p.72, Figure 12).</w:t>
      </w:r>
    </w:p>
    <w:p>
      <w:pPr>
        <w:pStyle w:val="Heading3"/>
      </w:pPr>
      <w:r>
        <w:t>Worked example (Table, p.73)</w:t>
      </w:r>
    </w:p>
    <w:p>
      <w:r>
        <w:t>The standard reports one company's Scope 3 Category 4 (Upstream Transportation and Distribution) across all three ledgers side by side. Physical inventory: 9,000 kg CO2e. Contractual inventory (after Product Matching + Substitution on drayage and LTL trucking lines): 6,690 kg CO2e. Impact statement (a maritime shipping intervention plus associated removals, via Emissions Matching): -1,250 kg CO2e. The three figures are reported as separate lines, not merged (p.73).</w:t>
      </w:r>
    </w:p>
    <w:p>
      <w:pPr>
        <w:pStyle w:val="Heading3"/>
      </w:pPr>
      <w:r>
        <w:t>Timing and disclosure</w:t>
      </w:r>
    </w:p>
    <w:p>
      <w:pPr>
        <w:ind w:left="432"/>
      </w:pPr>
      <w:r>
        <w:rPr>
          <w:i/>
        </w:rPr>
        <w:t>"If not using sector- or intervention-specific best practices, intervention outcomes should be reported within 24 months of record creation. Reporting companies that do not report intervention outcomes within 24 months from the date of record creation should provide justification for the delay."</w:t>
      </w:r>
      <w:r>
        <w:rPr>
          <w:i/>
        </w:rPr>
        <w:t xml:space="preserve">  — p.75, §7.2</w:t>
      </w:r>
    </w:p>
    <w:p>
      <w:r>
        <w:t>Disclosure: alongside the multi-statement report, companies must supply a list of every intervention (individually or grouped), which physical-inventory (sub)component or emissions source it addressed, and which ledger it was reported in (p.76, §7.3).</w:t>
      </w:r>
    </w:p>
    <w:p/>
    <w:p>
      <w:pPr>
        <w:pStyle w:val="Heading2"/>
      </w:pPr>
      <w:r>
        <w:t>Chapter 8 — Assurance to the standard itself (p.78, requirement at p.90)</w:t>
      </w:r>
    </w:p>
    <w:p>
      <w:pPr>
        <w:ind w:left="432"/>
      </w:pPr>
      <w:r>
        <w:rPr>
          <w:i/>
        </w:rPr>
        <w:t>"Companies should secure third-party, limited assurance that they meet the requirements of the AIM Standard in order to report intervention outcomes in their comprehensive multi-statement GHG report. Assurance providers should be independent of, and have no conflicts of interest with, the intervention or intervention reporting process."</w:t>
      </w:r>
      <w:r>
        <w:rPr>
          <w:i/>
        </w:rPr>
        <w:t xml:space="preserve">  — p.90</w:t>
      </w:r>
    </w:p>
    <w:p>
      <w:r>
        <w:t>"Limited assurance" is defined at p.34, footnote 17: "the level of assurance where the nature and extent of the verification activities have been designed to provide a reduced level of assurance on historical data and information" — distinct from "reasonable assurance" (p.34, footnote 24), the higher, more exhaustive bar.</w:t>
      </w:r>
    </w:p>
    <w:p/>
    <w:p>
      <w:pPr>
        <w:pStyle w:val="Heading2"/>
      </w:pPr>
      <w:r>
        <w:t>The appendices — practical tooling (p.79–120)</w:t>
      </w:r>
    </w:p>
    <w:p>
      <w:pPr>
        <w:pStyle w:val="ListBullet"/>
      </w:pPr>
      <w:r>
        <w:t>Appendix A — Glossary (p.79). Appendix B — full requirements/recommendations checklist by chapter (p.85).</w:t>
      </w:r>
    </w:p>
    <w:p>
      <w:pPr>
        <w:pStyle w:val="ListBullet"/>
      </w:pPr>
      <w:r>
        <w:t>Appendix C — external standards (RSB, ISCC PLUS, EU RED, VERRA, ICAO CORSIA, ISO 14067, etc.) mapped against AIM criteria coverage, plus minimum audit parameters where none are defined (p.91–93).</w:t>
      </w:r>
    </w:p>
    <w:p>
      <w:pPr>
        <w:pStyle w:val="ListBullet"/>
      </w:pPr>
      <w:r>
        <w:t>Appendix D — readiness-resource tables: per-requirement documentation examples for assurance providers (p.94–100).</w:t>
      </w:r>
    </w:p>
    <w:p>
      <w:pPr>
        <w:pStyle w:val="ListBullet"/>
      </w:pPr>
      <w:r>
        <w:t>Appendix E — identifying, quantifying, and locating (sub)components, including EEIO (Environmentally-Extended Input-Output) tables and LCA data (p.101–108).</w:t>
      </w:r>
    </w:p>
    <w:p>
      <w:pPr>
        <w:pStyle w:val="ListBullet"/>
      </w:pPr>
      <w:r>
        <w:t>Appendix F — identifying and locating an intervention itself (p.109–110).</w:t>
      </w:r>
    </w:p>
    <w:p>
      <w:pPr>
        <w:pStyle w:val="ListBullet"/>
      </w:pPr>
      <w:r>
        <w:t>Appendix G — regulatory surplus decision tree with examples across mandates (RefuelEU), threshold schemes (CORSIA), credit-trading (California LCFS), cap-and-trade (EU ETS), and voluntary incentives (US 45V) (p.111–113).</w:t>
      </w:r>
    </w:p>
    <w:p>
      <w:pPr>
        <w:pStyle w:val="ListBullet"/>
      </w:pPr>
      <w:r>
        <w:t>Appendix H — Activity Data Estimation: converting spend-based data to physical activity-unit estimates (p.114–115).</w:t>
      </w:r>
    </w:p>
    <w:p>
      <w:pPr>
        <w:pStyle w:val="ListBullet"/>
      </w:pPr>
      <w:r>
        <w:t>Appendix I — Determining a Credible Baseline (p.116–117).</w:t>
      </w:r>
    </w:p>
    <w:p/>
    <w:p>
      <w:pPr>
        <w:pStyle w:val="Heading2"/>
      </w:pPr>
      <w:r>
        <w:t>Governance and status</w:t>
      </w:r>
    </w:p>
    <w:p>
      <w:pPr>
        <w:ind w:left="432"/>
      </w:pPr>
      <w:r>
        <w:rPr>
          <w:i/>
        </w:rPr>
        <w:t>"The AIM Platform is a cross-sectoral, multi-stakeholder initiative that was established in early 2023."</w:t>
      </w:r>
      <w:r>
        <w:rPr>
          <w:i/>
        </w:rPr>
        <w:t xml:space="preserve">  — p.10</w:t>
      </w:r>
    </w:p>
    <w:p>
      <w:r>
        <w:t>Governed by a Secretariat (staff from the three convening organizations) and a Governing Committee of up to 15 independent members, who approve all outputs (p.12). Version 1.0, released April 2026 after a multi-year public consultation and pilot process from the platform's 2023 launch (p.12, Figure 2). Sector-specific guidance for electricity-related interventions is not yet published: "is expected to be published following Version 1 of the AIM Standard in 2026" (p.9).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