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75B6"/>
          <w:sz w:val="20"/>
          <w:szCs w:val="20"/>
        </w:rPr>
        <w:t xml:space="preserve">CHARM INDUSTRIAL — MRV</w:t>
      </w:r>
    </w:p>
    <w:p>
      <w:pPr>
        <w:spacing w:after="80"/>
      </w:pPr>
      <w:r>
        <w:rPr>
          <w:b/>
          <w:bCs/>
          <w:color w:val="1F3864"/>
          <w:sz w:val="36"/>
          <w:szCs w:val="36"/>
        </w:rPr>
        <w:t xml:space="preserve">How SBTi's New Net-Zero Standard Treats Removals and Reductions</w:t>
      </w:r>
    </w:p>
    <w:p>
      <w:pPr>
        <w:spacing w:after="40"/>
      </w:pPr>
      <w:r>
        <w:rPr>
          <w:i/>
          <w:iCs/>
          <w:color w:val="595959"/>
          <w:sz w:val="22"/>
          <w:szCs w:val="22"/>
        </w:rPr>
        <w:t xml:space="preserve">Internal reference — what corporate GHG-target buyers of Charm removals will now be operating under</w:t>
      </w:r>
    </w:p>
    <w:p>
      <w:pPr>
        <w:spacing w:after="300"/>
      </w:pPr>
      <w:r>
        <w:rPr>
          <w:color w:val="595959"/>
          <w:sz w:val="18"/>
          <w:szCs w:val="18"/>
        </w:rPr>
        <w:t xml:space="preserve">Prepared by Claude for Max Lavine  •  August 24, 2026</w:t>
      </w:r>
    </w:p>
    <w:p>
      <w:pPr>
        <w:spacing w:after="160"/>
      </w:pPr>
      <w:r>
        <w:t xml:space="preserve">Sources: SBTi Corporate Net-Zero Standard Version 2.0 Criteria (June 2026; effective February 1, 2027), pages 1–54 — Annex A not covered, not relevant here. Cross-checked against Charm's current Project Design Document (PDD v1.12, Bio-Oil Geological Storage and Biochar) and the Charm/Isometric knowledge base for Section 5.</w:t>
      </w:r>
    </w:p>
    <w:p>
      <w:pPr>
        <w:pStyle w:val="Heading1"/>
      </w:pPr>
      <w:r>
        <w:t xml:space="preserve">1. What SBTi Is, and What This Standard Actually Does</w:t>
      </w:r>
    </w:p>
    <w:p>
      <w:pPr>
        <w:spacing w:after="160"/>
      </w:pPr>
      <w:r>
        <w:t xml:space="preserve">The Science Based Targets initiative (SBTi) is the organization most large companies go through to get their climate targets validated as credible — a company that wants to say “we have a science-based net-zero target” generally means SBTi checked its target against this Standard and approved it.</w:t>
      </w:r>
    </w:p>
    <w:p>
      <w:pPr>
        <w:pBdr>
          <w:left w:val="single" w:color="2E75B6" w:sz="12" w:space="8"/>
        </w:pBdr>
        <w:spacing w:after="160" w:before="60"/>
        <w:ind w:left="360" w:right="360"/>
      </w:pPr>
      <w:r>
        <w:rPr>
          <w:i/>
          <w:iCs/>
        </w:rPr>
        <w:t xml:space="preserve">“The mission of the Science Based Targets initiative (SBTi) is to accelerate science-based corporate climate action consistent with net-zero by 2050 or sooner, contributing to international efforts aimed at limiting temperature change to 1.5°C by the end of the century.”</w:t>
      </w:r>
      <w:r>
        <w:rPr>
          <w:i/>
          <w:iCs/>
          <w:color w:val="595959"/>
          <w:sz w:val="20"/>
          <w:szCs w:val="20"/>
        </w:rPr>
        <w:t xml:space="preserve">  — p.6</w:t>
      </w:r>
    </w:p>
    <w:p>
      <w:pPr>
        <w:spacing w:after="160"/>
      </w:pPr>
      <w:r>
        <w:t xml:space="preserve">The Corporate Net-Zero Standard Version 2.0 (“CNZS V2.0”) is the current rulebook — a full revision of the prior version — and it is what every SBTi-validated company (and every company about to become one) will be judged against starting February 1, 2027:</w:t>
      </w:r>
    </w:p>
    <w:p>
      <w:pPr>
        <w:pBdr>
          <w:left w:val="single" w:color="2E75B6" w:sz="12" w:space="8"/>
        </w:pBdr>
        <w:spacing w:after="160" w:before="60"/>
        <w:ind w:left="360" w:right="360"/>
      </w:pPr>
      <w:r>
        <w:rPr>
          <w:i/>
          <w:iCs/>
        </w:rPr>
        <w:t xml:space="preserve">“The Corporate Net-Zero Standard V2.0 is intended for companies globally. All companies shall use the Corporate Net-Zero Standard V2.0 as the foundational standard...”</w:t>
      </w:r>
      <w:r>
        <w:rPr>
          <w:i/>
          <w:iCs/>
          <w:color w:val="595959"/>
          <w:sz w:val="20"/>
          <w:szCs w:val="20"/>
        </w:rPr>
        <w:t xml:space="preserve">  — p.6</w:t>
      </w:r>
    </w:p>
    <w:p>
      <w:pPr>
        <w:spacing w:after="160"/>
      </w:pPr>
      <w:r>
        <w:t xml:space="preserve">Why this matters to Charm: every corporate customer buying Charm's removals for a net-zero claim is either already validated under SBTi or will be soon. This Standard is the rulebook that determines whether, and how, they're allowed to use what Charm sells them.</w:t>
      </w:r>
    </w:p>
    <w:p>
      <w:pPr>
        <w:pStyle w:val="Heading1"/>
      </w:pPr>
      <w:r>
        <w:t xml:space="preserve">2. The Basic Architecture of an SBTi Target</w:t>
      </w:r>
    </w:p>
    <w:p>
      <w:pPr>
        <w:spacing w:after="160"/>
      </w:pPr>
      <w:r>
        <w:t xml:space="preserve">Before getting to removals and instruments, it helps to see the shape of the whole system. A validated company's target has a few moving parts, and the Standard treats them as genuinely separate stages — mixing them up is exactly the kind of mistake that gets flagged in verification.</w:t>
      </w:r>
    </w:p>
    <w:p>
      <w:pPr>
        <w:pStyle w:val="Heading2"/>
      </w:pPr>
      <w:r>
        <w:t xml:space="preserve">2.1 Scope 1 / 2 / 3 — whose emissions are whose</w:t>
      </w:r>
    </w:p>
    <w:p>
      <w:pPr>
        <w:spacing w:after="160"/>
      </w:pPr>
      <w:r>
        <w:t xml:space="preserve">This is standard GHG-accounting shorthand the Standard assumes you already know, so a quick gloss: Scope 1 is a company's own direct emissions (its own fuel burn, its own equipment). Scope 2 is emissions from the electricity, heat, steam, or cooling it buys. Scope 3 is everything else in its value chain — suppliers, transport, use of its sold products, and so on. A company setting a net-zero target under this Standard has to cover all three:</w:t>
      </w:r>
    </w:p>
    <w:p>
      <w:pPr>
        <w:pBdr>
          <w:left w:val="single" w:color="2E75B6" w:sz="12" w:space="8"/>
        </w:pBdr>
        <w:spacing w:after="160" w:before="60"/>
        <w:ind w:left="360" w:right="360"/>
      </w:pPr>
      <w:r>
        <w:rPr>
          <w:i/>
          <w:iCs/>
        </w:rPr>
        <w:t xml:space="preserve">“Companies that choose to set a net-zero target shall establish near-term and long-term targets covering scope 1, scope 2, and scope 3 emissions, and neutralize any residual emissions.”</w:t>
      </w:r>
      <w:r>
        <w:rPr>
          <w:i/>
          <w:iCs/>
          <w:color w:val="595959"/>
          <w:sz w:val="20"/>
          <w:szCs w:val="20"/>
        </w:rPr>
        <w:t xml:space="preserve">  — CNZS-C17, p.27</w:t>
      </w:r>
    </w:p>
    <w:p>
      <w:pPr>
        <w:pStyle w:val="Heading2"/>
      </w:pPr>
      <w:r>
        <w:t xml:space="preserve">2.2 Near-term vs. long-term targets</w:t>
      </w:r>
    </w:p>
    <w:p>
      <w:pPr>
        <w:spacing w:after="160"/>
      </w:pPr>
      <w:r>
        <w:t xml:space="preserve">A company sets two kinds of targets: a five-year “near-term” target and a target for 2050 (“long-term”). The near-term target is what companies get re-checked against most often; the long-term target is the destination.</w:t>
      </w:r>
    </w:p>
    <w:p>
      <w:pPr>
        <w:pBdr>
          <w:left w:val="single" w:color="2E75B6" w:sz="12" w:space="8"/>
        </w:pBdr>
        <w:spacing w:after="160" w:before="60"/>
        <w:ind w:left="360" w:right="360"/>
      </w:pPr>
      <w:r>
        <w:rPr>
          <w:i/>
          <w:iCs/>
        </w:rPr>
        <w:t xml:space="preserve">“Near-term target timeframe: Near-term targets shall cover a five-year period beginning at the start of the most recent reporting period at the time of submission for validation.”</w:t>
      </w:r>
      <w:r>
        <w:rPr>
          <w:i/>
          <w:iCs/>
          <w:color w:val="595959"/>
          <w:sz w:val="20"/>
          <w:szCs w:val="20"/>
        </w:rPr>
        <w:t xml:space="preserve">  — C9.2, p.19</w:t>
      </w:r>
    </w:p>
    <w:p>
      <w:pPr>
        <w:pStyle w:val="Heading2"/>
      </w:pPr>
      <w:r>
        <w:t xml:space="preserve">2.3 Target-setting vs. target implementation — two different jobs</w:t>
      </w:r>
    </w:p>
    <w:p>
      <w:pPr>
        <w:spacing w:after="160"/>
      </w:pPr>
      <w:r>
        <w:t xml:space="preserve">This is the split that matters most for understanding where instruments and removals come in. Section 3 (“Target Setting”) is about picking a number — how much a company commits to cut. Section 4 (“Target Implementation”) is a completely separate chapter about how a company is allowed to go get there, including the rules for using purchased instruments instead of, or alongside, its own direct action. A removal or reduction credit purchased from Charm lives entirely in the Section 4 world, not the Section 3 world — it never changes what target a company set, only what it's allowed to count toward having met it.</w:t>
      </w:r>
    </w:p>
    <w:p>
      <w:pPr>
        <w:pStyle w:val="Heading2"/>
      </w:pPr>
      <w:r>
        <w:t xml:space="preserve">2.4 The “physical GHG inventory” — why the Standard keeps repeating that word</w:t>
      </w:r>
    </w:p>
    <w:p>
      <w:pPr>
        <w:spacing w:after="160"/>
      </w:pPr>
      <w:r>
        <w:t xml:space="preserve">The Standard's central discipline is that a company's actual measured emissions — what really came out of its own smokestacks and supply chain, recalculated whenever things change — have to be tracked completely separately from anything it buys on a market. This measured, real number is what the Standard calls the “physical” inventory:</w:t>
      </w:r>
    </w:p>
    <w:p>
      <w:pPr>
        <w:pBdr>
          <w:left w:val="single" w:color="2E75B6" w:sz="12" w:space="8"/>
        </w:pBdr>
        <w:spacing w:after="160" w:before="60"/>
        <w:ind w:left="360" w:right="360"/>
      </w:pPr>
      <w:r>
        <w:rPr>
          <w:i/>
          <w:iCs/>
        </w:rPr>
        <w:t xml:space="preserve">“Companies shall account for and report a physical GHG inventory. Where applicable, companies shall separately account for and report actions and market instruments that are not reflected in the physical GHG inventory, in accordance with relevant GHG accounting standards, where available.”</w:t>
      </w:r>
      <w:r>
        <w:rPr>
          <w:i/>
          <w:iCs/>
          <w:color w:val="595959"/>
          <w:sz w:val="20"/>
          <w:szCs w:val="20"/>
        </w:rPr>
        <w:t xml:space="preserve">  — C5.4, p.14</w:t>
      </w:r>
    </w:p>
    <w:p>
      <w:pPr>
        <w:spacing w:after="160"/>
      </w:pPr>
      <w:r>
        <w:t xml:space="preserve">This is the single most important sentence in the Standard for understanding everything that follows. There are two ledgers: (1) what a company's operations actually physically emitted, and (2) instruments — contracts, certificates, credits — that a company holds but that did not change its own physical inventory number. The Standard's entire instrument framework (Section 4) exists to police the boundary between these two ledgers and stop companies from blurring them together.</w:t>
      </w:r>
    </w:p>
    <w:p>
      <w:pPr>
        <w:pStyle w:val="Heading1"/>
      </w:pPr>
      <w:r>
        <w:t xml:space="preserve">3. The Instrument Framework (Section 4): How Purchased Climate Action Is Policed</w:t>
      </w:r>
    </w:p>
    <w:p>
      <w:pPr>
        <w:pStyle w:val="Heading2"/>
      </w:pPr>
      <w:r>
        <w:t xml:space="preserve">3.1 Do it yourself first — the implementation hierarchy</w:t>
      </w:r>
    </w:p>
    <w:p>
      <w:pPr>
        <w:spacing w:after="160"/>
      </w:pPr>
      <w:r>
        <w:t xml:space="preserve">Before a company can lean on any purchased instrument, the Standard requires it to have tried direct action first:</w:t>
      </w:r>
    </w:p>
    <w:p>
      <w:pPr>
        <w:pBdr>
          <w:left w:val="single" w:color="2E75B6" w:sz="12" w:space="8"/>
        </w:pBdr>
        <w:spacing w:after="160" w:before="60"/>
        <w:ind w:left="360" w:right="360"/>
      </w:pPr>
      <w:r>
        <w:rPr>
          <w:i/>
          <w:iCs/>
        </w:rPr>
        <w:t xml:space="preserve">“Companies shall prioritize activity-level actions to reduce emissions from their operations and value chains before pursuing more indirect action.”</w:t>
      </w:r>
      <w:r>
        <w:rPr>
          <w:i/>
          <w:iCs/>
          <w:color w:val="595959"/>
          <w:sz w:val="20"/>
          <w:szCs w:val="20"/>
        </w:rPr>
        <w:t xml:space="preserve">  — C21, p.31</w:t>
      </w:r>
    </w:p>
    <w:p>
      <w:pPr>
        <w:spacing w:after="160"/>
      </w:pPr>
      <w:r>
        <w:t xml:space="preserve">A company can only step up to broader, indirect action (acting across a whole supply pool, or an entire sector) where it can show real “structural constraints” block direct action — and the Standard is explicit that cost alone doesn't count:</w:t>
      </w:r>
    </w:p>
    <w:p>
      <w:pPr>
        <w:pBdr>
          <w:left w:val="single" w:color="2E75B6" w:sz="12" w:space="8"/>
        </w:pBdr>
        <w:spacing w:after="160" w:before="60"/>
        <w:ind w:left="360" w:right="360"/>
      </w:pPr>
      <w:r>
        <w:rPr>
          <w:i/>
          <w:iCs/>
        </w:rPr>
        <w:t xml:space="preserve">“Structural constraints do not include internal preferences, procurement choices, or cost considerations alone.”</w:t>
      </w:r>
      <w:r>
        <w:rPr>
          <w:i/>
          <w:iCs/>
          <w:color w:val="595959"/>
          <w:sz w:val="20"/>
          <w:szCs w:val="20"/>
        </w:rPr>
        <w:t xml:space="preserve">  — footnote 32, p.32</w:t>
      </w:r>
    </w:p>
    <w:p>
      <w:pPr>
        <w:pStyle w:val="Heading2"/>
      </w:pPr>
      <w:r>
        <w:t xml:space="preserve">3.2 Two kinds of instrument, one shared rulebook</w:t>
      </w:r>
    </w:p>
    <w:p>
      <w:pPr>
        <w:spacing w:after="160"/>
      </w:pPr>
      <w:r>
        <w:t xml:space="preserve">Once a company does reach for something purchased, the Standard sorts it into one of two buckets, each with its own criterion, but both are held to the same seven integrity tests (C25, covering projects, market instruments, and certificates alike — footnote 33, p.33):</w:t>
      </w:r>
    </w:p>
    <w:p>
      <w:pPr>
        <w:pStyle w:val="ListParagraph"/>
        <w:numPr>
          <w:ilvl w:val="0"/>
          <w:numId w:val="2"/>
        </w:numPr>
        <w:spacing w:after="100"/>
      </w:pPr>
      <w:r>
        <w:rPr>
          <w:b/>
          <w:bCs/>
        </w:rPr>
        <w:t xml:space="preserve">Project-based instruments (C26): </w:t>
      </w:r>
      <w:r>
        <w:t xml:space="preserve">carbon credits generated by a specific project — e.g., a reforestation project, a direct-air-capture project, or Charm's own bio-oil injection. Eligible only if they produce “measurable and demonstrated emissions reductions or removals” and, for a company's own scope 1/2, “they are reflected in the company's physical GHG inventory” (p.34).</w:t>
      </w:r>
    </w:p>
    <w:p>
      <w:pPr>
        <w:pStyle w:val="ListParagraph"/>
        <w:numPr>
          <w:ilvl w:val="0"/>
          <w:numId w:val="2"/>
        </w:numPr>
        <w:spacing w:after="100"/>
      </w:pPr>
      <w:r>
        <w:rPr>
          <w:b/>
          <w:bCs/>
        </w:rPr>
        <w:t xml:space="preserve">Market instruments (C27) and certificates (C28): </w:t>
      </w:r>
      <w:r>
        <w:t xml:space="preserve">contracts or certificates not tied to one specific project — e.g., a renewable-electricity certificate. These must “accurately and conservatively convey the emissions or physical attributes of the underlying activity” and can never exceed the volume of the real activity they're matched to (C27.1–C27.2, p.35).</w:t>
      </w:r>
    </w:p>
    <w:p>
      <w:pPr>
        <w:spacing w:after="160"/>
      </w:pPr>
      <w:r>
        <w:t xml:space="preserve">The seven shared integrity tests (C25, p.33) are what any instrument — project credit, market instrument, or certificate — has to pass. In plain terms:</w:t>
      </w:r>
    </w:p>
    <w:p>
      <w:pPr>
        <w:pStyle w:val="ListParagraph"/>
        <w:numPr>
          <w:ilvl w:val="0"/>
          <w:numId w:val="2"/>
        </w:numPr>
        <w:spacing w:after="100"/>
      </w:pPr>
      <w:r>
        <w:rPr>
          <w:b/>
          <w:bCs/>
        </w:rPr>
        <w:t xml:space="preserve">Activity matching: </w:t>
      </w:r>
      <w:r>
        <w:t xml:space="preserve">the instrument has to correspond to the same real-world activity (same fuel, product, or energy source) as what it's being used to cover — you can't buy a wind-power certificate to claim credit against a diesel emission.</w:t>
      </w:r>
    </w:p>
    <w:p>
      <w:pPr>
        <w:pStyle w:val="ListParagraph"/>
        <w:numPr>
          <w:ilvl w:val="0"/>
          <w:numId w:val="2"/>
        </w:numPr>
        <w:spacing w:after="100"/>
      </w:pPr>
      <w:r>
        <w:rPr>
          <w:b/>
          <w:bCs/>
        </w:rPr>
        <w:t xml:space="preserve">System association: </w:t>
      </w:r>
      <w:r>
        <w:t xml:space="preserve">instruments have to come from the same geographic or supply system the company actually operates or sources within, not an unconnected market elsewhere.</w:t>
      </w:r>
    </w:p>
    <w:p>
      <w:pPr>
        <w:pStyle w:val="ListParagraph"/>
        <w:numPr>
          <w:ilvl w:val="0"/>
          <w:numId w:val="2"/>
        </w:numPr>
        <w:spacing w:after="100"/>
      </w:pPr>
      <w:r>
        <w:rPr>
          <w:b/>
          <w:bCs/>
        </w:rPr>
        <w:t xml:space="preserve">Quantification: </w:t>
      </w:r>
      <w:r>
        <w:t xml:space="preserve">the volume claimed has to be calculated “transparently and conservatively,” using recognized methods — no rounding up.</w:t>
      </w:r>
    </w:p>
    <w:p>
      <w:pPr>
        <w:pStyle w:val="ListParagraph"/>
        <w:numPr>
          <w:ilvl w:val="0"/>
          <w:numId w:val="2"/>
        </w:numPr>
        <w:spacing w:after="100"/>
      </w:pPr>
      <w:r>
        <w:rPr>
          <w:b/>
          <w:bCs/>
        </w:rPr>
        <w:t xml:space="preserve">Verifiability: </w:t>
      </w:r>
      <w:r>
        <w:t xml:space="preserve">the company has to keep documentation an independent auditor could actually check.</w:t>
      </w:r>
    </w:p>
    <w:p>
      <w:pPr>
        <w:pStyle w:val="ListParagraph"/>
        <w:numPr>
          <w:ilvl w:val="0"/>
          <w:numId w:val="2"/>
        </w:numPr>
        <w:spacing w:after="100"/>
      </w:pPr>
      <w:r>
        <w:rPr>
          <w:b/>
          <w:bCs/>
        </w:rPr>
        <w:t xml:space="preserve">Temporal alignment: </w:t>
      </w:r>
      <w:r>
        <w:t xml:space="preserve">the instrument generally has to correspond to activity within 12 months of the purchase (C25.5, p.33) — you can't bank an old certificate and apply it to this year's emissions without justification.</w:t>
      </w:r>
    </w:p>
    <w:p>
      <w:pPr>
        <w:pStyle w:val="ListParagraph"/>
        <w:numPr>
          <w:ilvl w:val="0"/>
          <w:numId w:val="2"/>
        </w:numPr>
        <w:spacing w:after="100"/>
      </w:pPr>
      <w:r>
        <w:rPr>
          <w:b/>
          <w:bCs/>
        </w:rPr>
        <w:t xml:space="preserve">Unique attribution: </w:t>
      </w:r>
      <w:r>
        <w:t xml:space="preserve">the outcome has to be clearly claimable by this one company — not quietly shared with someone else in the value chain who's also claiming it.</w:t>
      </w:r>
    </w:p>
    <w:p>
      <w:pPr>
        <w:pStyle w:val="ListParagraph"/>
        <w:numPr>
          <w:ilvl w:val="0"/>
          <w:numId w:val="2"/>
        </w:numPr>
        <w:spacing w:after="100"/>
      </w:pPr>
      <w:r>
        <w:rPr>
          <w:b/>
          <w:bCs/>
        </w:rPr>
        <w:t xml:space="preserve">Double counting prevention: </w:t>
      </w:r>
      <w:r>
        <w:t xml:space="preserve">the same reduction or removal can't be sold, claimed, or counted twice — enforced through unique serial numbers and registries (C25.7, p.33–34).</w:t>
      </w:r>
    </w:p>
    <w:p>
      <w:pPr>
        <w:pStyle w:val="Heading1"/>
      </w:pPr>
      <w:r>
        <w:t xml:space="preserve">4. The Line Between “Reduction” and “Removal” — and Why It's Rigid</w:t>
      </w:r>
    </w:p>
    <w:p>
      <w:pPr>
        <w:spacing w:after="160"/>
      </w:pPr>
      <w:r>
        <w:t xml:space="preserve">This is the section that matters most for Charm's product. The Standard draws one hard line: a removal credit — carbon pulled out of the atmosphere and stored — can never be used to claim that a company reduced its scope 1, 2, or 3 emissions. It can only be used to neutralize emissions that are still happening. This is stated directly, not implied:</w:t>
      </w:r>
    </w:p>
    <w:p>
      <w:pPr>
        <w:pBdr>
          <w:left w:val="single" w:color="2E75B6" w:sz="12" w:space="8"/>
        </w:pBdr>
        <w:spacing w:after="160" w:before="60"/>
        <w:ind w:left="360" w:right="360"/>
      </w:pPr>
      <w:r>
        <w:rPr>
          <w:i/>
          <w:iCs/>
        </w:rPr>
        <w:t xml:space="preserve">“Projects that result in the removal of carbon from the atmosphere can only be used for neutralization purposes in the Corporate Net-Zero Standard or as defined in applicable Sector Standards.”</w:t>
      </w:r>
      <w:r>
        <w:rPr>
          <w:i/>
          <w:iCs/>
          <w:color w:val="595959"/>
          <w:sz w:val="20"/>
          <w:szCs w:val="20"/>
        </w:rPr>
        <w:t xml:space="preserve">  — footnote 40 to C26.2, p.34</w:t>
      </w:r>
    </w:p>
    <w:p>
      <w:pPr>
        <w:spacing w:after="160"/>
      </w:pPr>
      <w:r>
        <w:t xml:space="preserve">Removals count in exactly three places in this Standard, and nowhere else:</w:t>
      </w:r>
    </w:p>
    <w:p>
      <w:pPr>
        <w:pStyle w:val="Heading2"/>
      </w:pPr>
      <w:r>
        <w:t xml:space="preserve">4.1 Neutralization at the net-zero target year (Section 6.6 / C46)</w:t>
      </w:r>
    </w:p>
    <w:p>
      <w:pPr>
        <w:spacing w:after="160"/>
      </w:pPr>
      <w:r>
        <w:t xml:space="preserve">Once a company reaches its net-zero year, whatever emissions it has left over (“residual emissions” — the emissions that can't be eliminated by 2050 even with full decarbonization) have to be matched, ton for ton, with a removal:</w:t>
      </w:r>
    </w:p>
    <w:p>
      <w:pPr>
        <w:pBdr>
          <w:left w:val="single" w:color="2E75B6" w:sz="12" w:space="8"/>
        </w:pBdr>
        <w:spacing w:after="160" w:before="60"/>
        <w:ind w:left="360" w:right="360"/>
      </w:pPr>
      <w:r>
        <w:rPr>
          <w:i/>
          <w:iCs/>
        </w:rPr>
        <w:t xml:space="preserve">“At the net-zero target year and thereafter, companies shall reduce their scope 1, scope 2, and scope 3 emissions to zero or residual levels, and neutralize all residual emissions using eligible carbon removals.”</w:t>
      </w:r>
      <w:r>
        <w:rPr>
          <w:i/>
          <w:iCs/>
          <w:color w:val="595959"/>
          <w:sz w:val="20"/>
          <w:szCs w:val="20"/>
        </w:rPr>
        <w:t xml:space="preserve">  — C46, p.54</w:t>
      </w:r>
    </w:p>
    <w:p>
      <w:pPr>
        <w:spacing w:after="160"/>
      </w:pPr>
      <w:r>
        <w:t xml:space="preserve">The Standard also splits removals by how long the carbon stays put. Emissions of long-lived gases have to be neutralized with long-lived removals — short-lived removals (like most forestry projects) aren't an eligible match for them:</w:t>
      </w:r>
    </w:p>
    <w:p>
      <w:pPr>
        <w:pBdr>
          <w:left w:val="single" w:color="2E75B6" w:sz="12" w:space="8"/>
        </w:pBdr>
        <w:spacing w:after="160" w:before="60"/>
        <w:ind w:left="360" w:right="360"/>
      </w:pPr>
      <w:r>
        <w:rPr>
          <w:i/>
          <w:iCs/>
        </w:rPr>
        <w:t xml:space="preserve">“Companies shall ensure that residual emissions of long-lived GHGs are neutralized with long-lived removals, and that any remaining residual emissions are neutralized with short-lived removals, long-lived removals, or a combination of both.”</w:t>
      </w:r>
      <w:r>
        <w:rPr>
          <w:i/>
          <w:iCs/>
          <w:color w:val="595959"/>
          <w:sz w:val="20"/>
          <w:szCs w:val="20"/>
        </w:rPr>
        <w:t xml:space="preserve">  — C46.2, p.54</w:t>
      </w:r>
    </w:p>
    <w:p>
      <w:pPr>
        <w:pStyle w:val="Heading2"/>
      </w:pPr>
      <w:r>
        <w:t xml:space="preserve">4.2 The optional Ongoing Emissions Responsibility (OER) program (Sections 6.1–6.4)</w:t>
      </w:r>
    </w:p>
    <w:p>
      <w:pPr>
        <w:spacing w:after="160"/>
      </w:pPr>
      <w:r>
        <w:t xml:space="preserve">This is a voluntary recognition track a company can opt into before it reaches net-zero, buying credit for taking responsibility for a slice of its ongoing emissions every year. Removals are one eligible way to do that (alongside reductions elsewhere in the value chain):</w:t>
      </w:r>
    </w:p>
    <w:p>
      <w:pPr>
        <w:pBdr>
          <w:left w:val="single" w:color="2E75B6" w:sz="12" w:space="8"/>
        </w:pBdr>
        <w:spacing w:after="160" w:before="60"/>
        <w:ind w:left="360" w:right="360"/>
      </w:pPr>
      <w:r>
        <w:rPr>
          <w:i/>
          <w:iCs/>
        </w:rPr>
        <w:t xml:space="preserve">“Verified mitigation outcomes... Remove carbon from the atmosphere and store it in carbon storage pools.”</w:t>
      </w:r>
      <w:r>
        <w:rPr>
          <w:i/>
          <w:iCs/>
          <w:color w:val="595959"/>
          <w:sz w:val="20"/>
          <w:szCs w:val="20"/>
        </w:rPr>
        <w:t xml:space="preserve">  — C41.1, p.48</w:t>
      </w:r>
    </w:p>
    <w:p>
      <w:pPr>
        <w:spacing w:after="160"/>
      </w:pPr>
      <w:r>
        <w:t xml:space="preserve">Companies choosing the top (“Leadership”) tier are pointed toward a specific price floor for the climate-funding budget they commit — but the Standard is careful to say this isn't a market price recommendation:</w:t>
      </w:r>
    </w:p>
    <w:p>
      <w:pPr>
        <w:pBdr>
          <w:left w:val="single" w:color="2E75B6" w:sz="12" w:space="8"/>
        </w:pBdr>
        <w:spacing w:after="160" w:before="60"/>
        <w:ind w:left="360" w:right="360"/>
      </w:pPr>
      <w:r>
        <w:rPr>
          <w:i/>
          <w:iCs/>
        </w:rPr>
        <w:t xml:space="preserve">“The SBTi reviewed various approaches to setting a science-based carbon price, which yield a wide range of uncertain estimates, and has therefore selected a benchmark of at least $80/tCO₂e for the Leadership level of recognition, reflecting the lower end of these estimates and subject to future review.”</w:t>
      </w:r>
      <w:r>
        <w:rPr>
          <w:i/>
          <w:iCs/>
          <w:color w:val="595959"/>
          <w:sz w:val="20"/>
          <w:szCs w:val="20"/>
        </w:rPr>
        <w:t xml:space="preserve">  — footnote 63, p.47</w:t>
      </w:r>
    </w:p>
    <w:p>
      <w:pPr>
        <w:spacing w:after="160"/>
      </w:pPr>
      <w:r>
        <w:t xml:space="preserve">(The “Advanced” tier below it references a $20/tCO₂e contribution-budget benchmark with the same caveat — C40.4.b, p.47.)</w:t>
      </w:r>
    </w:p>
    <w:p>
      <w:pPr>
        <w:pStyle w:val="Heading2"/>
      </w:pPr>
      <w:r>
        <w:t xml:space="preserve">4.3 The post-2035 mandatory responsibility requirement (Section 6.5 / C45)</w:t>
      </w:r>
    </w:p>
    <w:p>
      <w:pPr>
        <w:spacing w:after="160"/>
      </w:pPr>
      <w:r>
        <w:t xml:space="preserve">This one isn't optional, but it isn't in force yet — it phases in starting in 2035, and the Standard flags it as provisional:</w:t>
      </w:r>
    </w:p>
    <w:p>
      <w:pPr>
        <w:pBdr>
          <w:left w:val="single" w:color="2E75B6" w:sz="12" w:space="8"/>
        </w:pBdr>
        <w:spacing w:after="160" w:before="60"/>
        <w:ind w:left="360" w:right="360"/>
      </w:pPr>
      <w:r>
        <w:rPr>
          <w:i/>
          <w:iCs/>
        </w:rPr>
        <w:t xml:space="preserve">“This illustrative requirement sets the intention for companies to gradually take responsibility for the impact of their ongoing emissions from 2035 onwards. As this requirement is expected to take effect from 2035, the criteria will be reviewed in the next major revision of the Corporate Net-Zero Standard (Version 3) to reflect the best available science at the time.”</w:t>
      </w:r>
      <w:r>
        <w:rPr>
          <w:i/>
          <w:iCs/>
          <w:color w:val="595959"/>
          <w:sz w:val="20"/>
          <w:szCs w:val="20"/>
        </w:rPr>
        <w:t xml:space="preserve">  — disclaimer preceding C45, p.53</w:t>
      </w:r>
    </w:p>
    <w:p>
      <w:pPr>
        <w:pBdr>
          <w:left w:val="single" w:color="2E75B6" w:sz="12" w:space="8"/>
        </w:pBdr>
        <w:spacing w:after="160" w:before="60"/>
        <w:ind w:left="360" w:right="360"/>
      </w:pPr>
      <w:r>
        <w:rPr>
          <w:i/>
          <w:iCs/>
        </w:rPr>
        <w:t xml:space="preserve">“From 2035, companies shall support eligible carbon removals equal to at least 1% of ongoing scope 1, scope 2, and scope 3 emissions, including a defined and increasing share of long-lived removals.”</w:t>
      </w:r>
      <w:r>
        <w:rPr>
          <w:i/>
          <w:iCs/>
          <w:color w:val="595959"/>
          <w:sz w:val="20"/>
          <w:szCs w:val="20"/>
        </w:rPr>
        <w:t xml:space="preserve">  — C45, p.53</w:t>
      </w:r>
    </w:p>
    <w:p>
      <w:pPr>
        <w:spacing w:after="160"/>
      </w:pPr>
      <w:r>
        <w:t xml:space="preserve">That long-lived share isn't a fixed number — it starts small and ramps up to full coverage by the company's net-zero year:</w:t>
      </w:r>
    </w:p>
    <w:p>
      <w:pPr>
        <w:pBdr>
          <w:left w:val="single" w:color="2E75B6" w:sz="12" w:space="8"/>
        </w:pBdr>
        <w:spacing w:after="160" w:before="60"/>
        <w:ind w:left="360" w:right="360"/>
      </w:pPr>
      <w:r>
        <w:rPr>
          <w:i/>
          <w:iCs/>
        </w:rPr>
        <w:t xml:space="preserve">“From 2035, companies shall support long-lived removals equal to at least 10% of covered emissions attributable to long-lived GHGs. This minimum share shall increase linearly, reaching 100% by the net-zero year at the latest.”</w:t>
      </w:r>
      <w:r>
        <w:rPr>
          <w:i/>
          <w:iCs/>
          <w:color w:val="595959"/>
          <w:sz w:val="20"/>
          <w:szCs w:val="20"/>
        </w:rPr>
        <w:t xml:space="preserve">  — C45.4, p.53</w:t>
      </w:r>
    </w:p>
    <w:p>
      <w:pPr>
        <w:pStyle w:val="Heading1"/>
      </w:pPr>
      <w:r>
        <w:t xml:space="preserve">5. The Delta: What Charm Already Covers vs. What's New Under CNZS V2.0</w:t>
      </w:r>
    </w:p>
    <w:p>
      <w:pPr>
        <w:spacing w:after="160"/>
      </w:pPr>
      <w:r>
        <w:t xml:space="preserve">Charm sells verified bio-oil injection removals — CO₂ captured in bio-oil and injected into geologic storage — to corporate customers who need to account for that removal under exactly this Standard. The question is not what SBTi requires in the abstract; it's what, in the current Project Design Document (PDD v1.12) and knowledge base, already satisfies that, and what does not exist yet. Checked against both: the PDD (Charm_PDD_v1.12_Bio_Oil_Geologic_Storage_Biochar.docx) and the Isometric knowledge base.</w:t>
      </w:r>
    </w:p>
    <w:p>
      <w:pPr>
        <w:pStyle w:val="Heading2"/>
      </w:pPr>
      <w:r>
        <w:t xml:space="preserve">5.1 Already covered — no new work required</w:t>
      </w:r>
    </w:p>
    <w:p>
      <w:pPr>
        <w:pStyle w:val="ListParagraph"/>
        <w:numPr>
          <w:ilvl w:val="0"/>
          <w:numId w:val="2"/>
        </w:numPr>
        <w:spacing w:after="100"/>
      </w:pPr>
      <w:r>
        <w:rPr>
          <w:b/>
          <w:bCs/>
        </w:rPr>
        <w:t xml:space="preserve">Durability: </w:t>
      </w:r>
      <w:r>
        <w:t xml:space="preserve">the PDD's own durability assessment for Basco 6 already establishes long-lived storage, independent of SBTi: “we are confident in our assessment that the Lower Miocene zone penetrated by the Basco 6 EW possesses the characteristics required for bio-oil storage on a 1000+ year timeline” (PDD, Durability Assessment section). This is the fact pattern that lets Charm's removals satisfy the long-lived-removal share the Standard is phasing in (C45.4, C46.2) — nothing about the storage claim itself needs to change.</w:t>
      </w:r>
    </w:p>
    <w:p>
      <w:pPr>
        <w:pStyle w:val="ListParagraph"/>
        <w:numPr>
          <w:ilvl w:val="0"/>
          <w:numId w:val="2"/>
        </w:numPr>
        <w:spacing w:after="100"/>
      </w:pPr>
      <w:r>
        <w:rPr>
          <w:b/>
          <w:bCs/>
        </w:rPr>
        <w:t xml:space="preserve">Additionality: </w:t>
      </w:r>
      <w:r>
        <w:t xml:space="preserve">the PDD already carries a full financial/environmental/regulatory additionality demonstration under the Isometric Standard: “the sequestration of third-party produced bio oil will only generate revenue through the sale of carbon credits. Absent the ability to sell these credits, none of the project activities would be financially viable... It therefore qualifies as financially additional as defined by Section 2.5.3 of the Isometric Standard” (PDD, Additionality section). SBTi's C26.7 additionality requirement (p.35) asks for the same underlying substance Isometric already requires.</w:t>
      </w:r>
    </w:p>
    <w:p>
      <w:pPr>
        <w:pStyle w:val="ListParagraph"/>
        <w:numPr>
          <w:ilvl w:val="0"/>
          <w:numId w:val="2"/>
        </w:numPr>
        <w:spacing w:after="100"/>
      </w:pPr>
      <w:r>
        <w:rPr>
          <w:b/>
          <w:bCs/>
        </w:rPr>
        <w:t xml:space="preserve">Ex-post, measured — not projected: </w:t>
      </w:r>
      <w:r>
        <w:t xml:space="preserve">SBTi excludes “emissions reductions or removals that are estimated ex ante and not yet realized” (C26.2.d, p.34). Charm's own monitoring already works the other way: “Samples are taken from each injection batch prior to the addition of salt and liquid caustic soda... sent to an analytical laboratory to quantify the carbon content of that batch... The Mass of Bio Oil Injected is multiplied by the % C content to compute the gross C sequestered by an injection” (PDD, Monitoring Parameters). Every removal is measured after the fact, batch by batch — already the opposite of an ex-ante estimate.</w:t>
      </w:r>
    </w:p>
    <w:p>
      <w:pPr>
        <w:pStyle w:val="ListParagraph"/>
        <w:numPr>
          <w:ilvl w:val="0"/>
          <w:numId w:val="2"/>
        </w:numPr>
        <w:spacing w:after="100"/>
      </w:pPr>
      <w:r>
        <w:rPr>
          <w:b/>
          <w:bCs/>
        </w:rPr>
        <w:t xml:space="preserve">Reversal-risk safeguards: </w:t>
      </w:r>
      <w:r>
        <w:t xml:space="preserve">SBTi's OER program requires “risk assessments and safeguards to monitor, address, and compensate for reversals where risk of reversal exists” (C42.2.d, p.50). The Isometric Standard v2.0 already runs this through a buffer-pool allocation scaled to risk tier — Very Low Risk 2%, Low Risk 5%, Medium Risk 7%, High Risk 10–20% — plus a dedicated Risk Reversal Questionnaire (knowledge base, Isometric Standard v2.0 summary). This is an existing mechanism, not something to build.</w:t>
      </w:r>
    </w:p>
    <w:p>
      <w:pPr>
        <w:pStyle w:val="ListParagraph"/>
        <w:numPr>
          <w:ilvl w:val="0"/>
          <w:numId w:val="2"/>
        </w:numPr>
        <w:spacing w:after="100"/>
      </w:pPr>
      <w:r>
        <w:rPr>
          <w:b/>
          <w:bCs/>
        </w:rPr>
        <w:t xml:space="preserve">Removal/reduction separated at the registry level: </w:t>
      </w:r>
      <w:r>
        <w:t xml:space="preserve">SBTi's hard line against using a removal to claim a reduction (footnote 40, p.34) is already mirrored on the supply side: Isometric Standard v2.0 “Now issues both Carbon Dioxide Removal credits AND Emission Reduction credits” (knowledge base) as two distinct credit types. Charm's removals are already issued and tracked as removal credits, not reduction credits — the categories a buyer needs to keep separate under SBTi already arrive separated.</w:t>
      </w:r>
    </w:p>
    <w:p>
      <w:pPr>
        <w:pStyle w:val="Heading2"/>
      </w:pPr>
      <w:r>
        <w:t xml:space="preserve">5.2 New — not addressed anywhere in current Charm documentation</w:t>
      </w:r>
    </w:p>
    <w:p>
      <w:pPr>
        <w:pStyle w:val="ListParagraph"/>
        <w:numPr>
          <w:ilvl w:val="0"/>
          <w:numId w:val="2"/>
        </w:numPr>
        <w:spacing w:after="100"/>
      </w:pPr>
      <w:r>
        <w:rPr>
          <w:b/>
          <w:bCs/>
        </w:rPr>
        <w:t xml:space="preserve">Host-country authorization and corresponding adjustments: </w:t>
      </w:r>
      <w:r>
        <w:t xml:space="preserve">SBTi requires the buyer to report “whether the removal credits used for neutralization have been authorized by the host country and subject to corresponding adjustments” (C46.6, p.54), and recommends removals “not simultaneously claimed against countries' Nationally Determined Contributions (NDCs)... including by applying corresponding adjustments where available” (R46.1, p.54). Neither the PDD nor the knowledge base contains any reference to host-country authorization, corresponding adjustments, or NDCs — this is a genuinely new question a buyer's diligence team can raise that Charm currently has no documented position on. It needs an answer, not an assumption, before it comes up.</w:t>
      </w:r>
    </w:p>
    <w:p>
      <w:pPr>
        <w:pStyle w:val="ListParagraph"/>
        <w:numPr>
          <w:ilvl w:val="0"/>
          <w:numId w:val="2"/>
        </w:numPr>
        <w:spacing w:after="100"/>
      </w:pPr>
      <w:r>
        <w:rPr>
          <w:b/>
          <w:bCs/>
        </w:rPr>
        <w:t xml:space="preserve">Buyer-facing claim framing: </w:t>
      </w:r>
      <w:r>
        <w:t xml:space="preserve">the PDD and knowledge base are Charm's technical verification record — they don't contain customer-facing sales or marketing language one way or the other. That means Section 4's finding (a removal can never be pitched as a “reduction,” footnote 40, p.34) is not a correction to anything Charm has done — it's an unaddressed input that whoever writes buyer-facing material should be handed, since nothing in the current document set already enforces or contradicts it.</w:t>
      </w:r>
    </w:p>
    <w:p>
      <w:pPr>
        <w:pStyle w:val="Heading2"/>
      </w:pPr>
      <w:r>
        <w:t xml:space="preserve">5.3 New — not yet resolved by SBTi itself, independent of anything Charm does</w:t>
      </w:r>
    </w:p>
    <w:p>
      <w:pPr>
        <w:shd w:fill="FFF2CC" w:val="clear"/>
        <w:spacing w:after="200" w:before="100"/>
        <w:ind w:left="120" w:right="120"/>
      </w:pPr>
      <w:r>
        <w:rPr>
          <w:i/>
          <w:iCs/>
        </w:rPr>
        <w:t xml:space="preserve">The Standard repeatedly points to certification and assurance criteria SBTi has not yet published — it does not yet specify exactly what makes a removal methodology or registry “eligible” beyond the general integrity tests in Sections 4.2 and 6.3. Representative instance: “The SBTi will develop criteria and processes for recognizing third-party frameworks, standards, and programs, where applicable” (footnote 34, p.33; repeated at footnotes 36, 37, 41, 45, 46, 52, 54, 56, 59, 66). This has nothing to do with Charm's own documentation — it's a gap on SBTi's side to track as further guidance is published, not something resolved here.</w:t>
      </w:r>
    </w:p>
    <w:p>
      <w:pPr>
        <w:pStyle w:val="Heading1"/>
      </w:pPr>
      <w:r>
        <w:t xml:space="preserve">Where to Look If a Question Comes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6E4F0" w:val="clear"/>
            <w:tcMar>
              <w:top w:type="dxa" w:w="80"/>
              <w:left w:type="dxa" w:w="120"/>
              <w:bottom w:type="dxa" w:w="80"/>
              <w:right w:type="dxa" w:w="120"/>
            </w:tcMar>
          </w:tcPr>
          <w:p>
            <w:r>
              <w:rPr>
                <w:b/>
                <w:bCs/>
              </w:rPr>
              <w:t xml:space="preserve">Question</w:t>
            </w:r>
          </w:p>
        </w:tc>
        <w:tc>
          <w:tcPr>
            <w:tcW w:type="dxa" w:w="6960"/>
            <w:shd w:fill="D6E4F0" w:val="clear"/>
            <w:tcMar>
              <w:top w:type="dxa" w:w="80"/>
              <w:left w:type="dxa" w:w="120"/>
              <w:bottom w:type="dxa" w:w="80"/>
              <w:right w:type="dxa" w:w="120"/>
            </w:tcMar>
          </w:tcPr>
          <w:p>
            <w:r>
              <w:rPr>
                <w:b/>
                <w:bCs/>
              </w:rPr>
              <w:t xml:space="preserve">Section</w:t>
            </w:r>
          </w:p>
        </w:tc>
      </w:tr>
      <w:tr>
        <w:tc>
          <w:tcPr>
            <w:tcW w:type="dxa" w:w="2400"/>
            <w:tcMar>
              <w:top w:type="dxa" w:w="80"/>
              <w:left w:type="dxa" w:w="120"/>
              <w:bottom w:type="dxa" w:w="80"/>
              <w:right w:type="dxa" w:w="120"/>
            </w:tcMar>
          </w:tcPr>
          <w:p>
            <w:r>
              <w:t xml:space="preserve">Can a customer call this a “reduction”?</w:t>
            </w:r>
          </w:p>
        </w:tc>
        <w:tc>
          <w:tcPr>
            <w:tcW w:type="dxa" w:w="6960"/>
            <w:tcMar>
              <w:top w:type="dxa" w:w="80"/>
              <w:left w:type="dxa" w:w="120"/>
              <w:bottom w:type="dxa" w:w="80"/>
              <w:right w:type="dxa" w:w="120"/>
            </w:tcMar>
          </w:tcPr>
          <w:p>
            <w:r>
              <w:t xml:space="preserve">Section 4, footnote 40 (p.34) — no, removals only support neutralization.</w:t>
            </w:r>
          </w:p>
        </w:tc>
      </w:tr>
      <w:tr>
        <w:tc>
          <w:tcPr>
            <w:tcW w:type="dxa" w:w="2400"/>
            <w:tcMar>
              <w:top w:type="dxa" w:w="80"/>
              <w:left w:type="dxa" w:w="120"/>
              <w:bottom w:type="dxa" w:w="80"/>
              <w:right w:type="dxa" w:w="120"/>
            </w:tcMar>
          </w:tcPr>
          <w:p>
            <w:r>
              <w:t xml:space="preserve">What does “physical inventory” mean and why does it matter?</w:t>
            </w:r>
          </w:p>
        </w:tc>
        <w:tc>
          <w:tcPr>
            <w:tcW w:type="dxa" w:w="6960"/>
            <w:tcMar>
              <w:top w:type="dxa" w:w="80"/>
              <w:left w:type="dxa" w:w="120"/>
              <w:bottom w:type="dxa" w:w="80"/>
              <w:right w:type="dxa" w:w="120"/>
            </w:tcMar>
          </w:tcPr>
          <w:p>
            <w:r>
              <w:t xml:space="preserve">Section 2.4 / C5.4 (p.14) — the real vs. purchased ledger split.</w:t>
            </w:r>
          </w:p>
        </w:tc>
      </w:tr>
      <w:tr>
        <w:tc>
          <w:tcPr>
            <w:tcW w:type="dxa" w:w="2400"/>
            <w:tcMar>
              <w:top w:type="dxa" w:w="80"/>
              <w:left w:type="dxa" w:w="120"/>
              <w:bottom w:type="dxa" w:w="80"/>
              <w:right w:type="dxa" w:w="120"/>
            </w:tcMar>
          </w:tcPr>
          <w:p>
            <w:r>
              <w:t xml:space="preserve">What does Charm already have covered, with no new work?</w:t>
            </w:r>
          </w:p>
        </w:tc>
        <w:tc>
          <w:tcPr>
            <w:tcW w:type="dxa" w:w="6960"/>
            <w:tcMar>
              <w:top w:type="dxa" w:w="80"/>
              <w:left w:type="dxa" w:w="120"/>
              <w:bottom w:type="dxa" w:w="80"/>
              <w:right w:type="dxa" w:w="120"/>
            </w:tcMar>
          </w:tcPr>
          <w:p>
            <w:r>
              <w:t xml:space="preserve">Section 5.1 — durability, additionality, ex-post measurement, buffer pool, credit-type separation (PDD + KB citations).</w:t>
            </w:r>
          </w:p>
        </w:tc>
      </w:tr>
      <w:tr>
        <w:tc>
          <w:tcPr>
            <w:tcW w:type="dxa" w:w="2400"/>
            <w:tcMar>
              <w:top w:type="dxa" w:w="80"/>
              <w:left w:type="dxa" w:w="120"/>
              <w:bottom w:type="dxa" w:w="80"/>
              <w:right w:type="dxa" w:w="120"/>
            </w:tcMar>
          </w:tcPr>
          <w:p>
            <w:r>
              <w:t xml:space="preserve">What's genuinely new and undocumented?</w:t>
            </w:r>
          </w:p>
        </w:tc>
        <w:tc>
          <w:tcPr>
            <w:tcW w:type="dxa" w:w="6960"/>
            <w:tcMar>
              <w:top w:type="dxa" w:w="80"/>
              <w:left w:type="dxa" w:w="120"/>
              <w:bottom w:type="dxa" w:w="80"/>
              <w:right w:type="dxa" w:w="120"/>
            </w:tcMar>
          </w:tcPr>
          <w:p>
            <w:r>
              <w:t xml:space="preserve">Section 5.2 — host-country authorization / corresponding adjustments; buyer-facing claim framing.</w:t>
            </w:r>
          </w:p>
        </w:tc>
      </w:tr>
      <w:tr>
        <w:tc>
          <w:tcPr>
            <w:tcW w:type="dxa" w:w="2400"/>
            <w:tcMar>
              <w:top w:type="dxa" w:w="80"/>
              <w:left w:type="dxa" w:w="120"/>
              <w:bottom w:type="dxa" w:w="80"/>
              <w:right w:type="dxa" w:w="120"/>
            </w:tcMar>
          </w:tcPr>
          <w:p>
            <w:r>
              <w:t xml:space="preserve">What's still undefined by SBTi itself?</w:t>
            </w:r>
          </w:p>
        </w:tc>
        <w:tc>
          <w:tcPr>
            <w:tcW w:type="dxa" w:w="6960"/>
            <w:tcMar>
              <w:top w:type="dxa" w:w="80"/>
              <w:left w:type="dxa" w:w="120"/>
              <w:bottom w:type="dxa" w:w="80"/>
              <w:right w:type="dxa" w:w="120"/>
            </w:tcMar>
          </w:tcPr>
          <w:p>
            <w:r>
              <w:t xml:space="preserve">Section 5.3 — third-party removal certification criteria, forthcoming.</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95959"/>
        <w:sz w:val="18"/>
        <w:szCs w:val="18"/>
      </w:rPr>
      <w:t xml:space="preserve">Internal — Charm MRV reference</w:t>
    </w:r>
    <w:r>
      <w:rPr>
        <w:color w:val="595959"/>
        <w:sz w:val="18"/>
        <w:szCs w:val="18"/>
      </w:rPr>
      <w:t xml:space="preserve">	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0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2026-08-25T02:43:33.830Z</dcterms:created>
  <dcterms:modified xsi:type="dcterms:W3CDTF">2026-08-25T02:43:33.831Z</dcterms:modified>
</cp:coreProperties>
</file>

<file path=docProps/custom.xml><?xml version="1.0" encoding="utf-8"?>
<Properties xmlns="http://schemas.openxmlformats.org/officeDocument/2006/custom-properties" xmlns:vt="http://schemas.openxmlformats.org/officeDocument/2006/docPropsVTypes"/>
</file>