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57"/>
        </w:rPr>
        <w:t>DreamCloud vs. DreamLine</w:t>
      </w:r>
    </w:p>
    <w:p>
      <w:r>
        <w:rPr>
          <w:i/>
          <w:sz w:val="24"/>
        </w:rPr>
        <w:t>What the difference actually is, and what it means for MRV</w:t>
      </w:r>
    </w:p>
    <w:p>
      <w:r>
        <w:rPr>
          <w:color w:val="666666"/>
          <w:sz w:val="18"/>
        </w:rPr>
        <w:t>Prepared for Max Lavine  ·  2026-07-30  ·  Sources: Confluence ATFBR space, Google Drive, Slack</w:t>
      </w:r>
    </w:p>
    <w:p>
      <w:pPr>
        <w:pStyle w:val="Heading1"/>
      </w:pPr>
      <w:r>
        <w:rPr>
          <w:color w:val="1F3B57"/>
        </w:rPr>
        <w:t>The answer</w:t>
      </w:r>
    </w:p>
    <w:p>
      <w:r>
        <w:t>Charm has three machine configurations in play, and the drawings name them D01 (DreamCloud) and D02/D03 (the two DreamLines). Each one grew out of the last.</w:t>
      </w:r>
    </w:p>
    <w:p>
      <w:r>
        <w:rPr>
          <w:b/>
          <w:i w:val="0"/>
        </w:rPr>
        <w:t>1. DreamCloud as originally built</w:t>
      </w:r>
      <w:r>
        <w:rPr>
          <w:b w:val="0"/>
          <w:i w:val="0"/>
        </w:rPr>
        <w:t xml:space="preserve"> — 2 tons per day, 8-inch reactor, two hot electrostatic precipitators in series, char into barrels. This is the configuration Charm’s third-party stack test was run on.</w:t>
      </w:r>
    </w:p>
    <w:p>
      <w:r>
        <w:rPr>
          <w:b/>
          <w:i w:val="0"/>
        </w:rPr>
        <w:t>2. DreamCloud as it exists today</w:t>
      </w:r>
      <w:r>
        <w:rPr>
          <w:b w:val="0"/>
          <w:i w:val="0"/>
        </w:rPr>
        <w:t xml:space="preserve"> — rebuilt in late April 2026 to 5 tons per day specifically to de-risk DreamLine. Jessica Brown, Background section of </w:t>
      </w:r>
      <w:r>
        <w:rPr>
          <w:b/>
          <w:i w:val="0"/>
        </w:rPr>
        <w:t>D1-260429 Test Report</w:t>
      </w:r>
      <w:r>
        <w:rPr>
          <w:b w:val="0"/>
          <w:i w:val="0"/>
        </w:rPr>
        <w:t xml:space="preserve"> (Confluence ATFBR, updated Jun 05, 2026):</w:t>
      </w:r>
    </w:p>
    <w:p>
      <w:pPr>
        <w:spacing w:before="80" w:after="160"/>
        <w:ind w:left="504"/>
      </w:pPr>
      <w:r>
        <w:rPr>
          <w:i/>
          <w:color w:val="333333"/>
        </w:rPr>
        <w:t>"DreamLine, the production ATFBR units, will have a nominal throughput of 5 tons per day. To de-risk the DreamLine production units before final designs are locked, the DreamCloud unit was upgraded to also operate at 5 TPD. The upgrade included an increase to reactor size, new cyclone designs, a multichannel hot ESP in place of the ESPs in series, and upgrades to char conveyance and inert gas recirculation."</w:t>
      </w:r>
    </w:p>
    <w:p>
      <w:r>
        <w:rPr>
          <w:b/>
          <w:i w:val="0"/>
        </w:rPr>
        <w:t>3. DreamLine</w:t>
      </w:r>
      <w:r>
        <w:rPr>
          <w:b w:val="0"/>
          <w:i w:val="0"/>
        </w:rPr>
        <w:t xml:space="preserve"> — two production machines at the same nominal 5 tons per day, on a purpose-built frame, with a different emissions system.</w:t>
      </w:r>
    </w:p>
    <w:p>
      <w:r>
        <w:t>DreamCloud today is close to DreamLine on the process train and far from it on packaging and on the one system that matters most to you: how the tail gas gets burned.</w:t>
      </w:r>
    </w:p>
    <w:p>
      <w:pPr>
        <w:pStyle w:val="Heading1"/>
      </w:pPr>
      <w:r>
        <w:rPr>
          <w:color w:val="1F3B57"/>
        </w:rPr>
        <w:t>The reactor — resolved</w:t>
      </w:r>
    </w:p>
    <w:p>
      <w:r>
        <w:rPr>
          <w:b w:val="0"/>
          <w:i w:val="0"/>
        </w:rPr>
        <w:t xml:space="preserve">Original design, </w:t>
      </w:r>
      <w:r>
        <w:rPr>
          <w:b/>
          <w:i w:val="0"/>
        </w:rPr>
        <w:t>Reactor D-Series</w:t>
      </w:r>
      <w:r>
        <w:rPr>
          <w:b w:val="0"/>
          <w:i w:val="0"/>
        </w:rPr>
        <w:t xml:space="preserve"> (Joseph Polin, updated Apr 18, 2024), Reactor Sizing → Diameter:</w:t>
      </w:r>
    </w:p>
    <w:p>
      <w:pPr>
        <w:spacing w:before="80" w:after="160"/>
        <w:ind w:left="504"/>
      </w:pPr>
      <w:r>
        <w:rPr>
          <w:i/>
          <w:color w:val="333333"/>
        </w:rPr>
        <w:t>"8" NPS pipe (standard schedule 40) will be used to fabricate the reactor" and "the reactor inner diameter will be 7.981 inches (based on 8" NPS pipe)."</w:t>
      </w:r>
    </w:p>
    <w:p>
      <w:r>
        <w:t>Same page, Reactor Operation:</w:t>
      </w:r>
    </w:p>
    <w:p>
      <w:pPr>
        <w:spacing w:before="80" w:after="160"/>
        <w:ind w:left="504"/>
      </w:pPr>
      <w:r>
        <w:rPr>
          <w:i/>
          <w:color w:val="333333"/>
        </w:rPr>
        <w:t>"The superficial velocity for ATFBR is anticipated to be 90 - 100 cm/sec (3.0 - 3.3 ft/sec)."</w:t>
      </w:r>
    </w:p>
    <w:p>
      <w:r>
        <w:rPr>
          <w:b w:val="0"/>
          <w:i w:val="0"/>
        </w:rPr>
        <w:t xml:space="preserve">DreamLine is 14 inches, and I have two independent sources. Dillon’s </w:t>
      </w:r>
      <w:r>
        <w:rPr>
          <w:b/>
          <w:i w:val="0"/>
        </w:rPr>
        <w:t>DreamLine Design Scoping &amp; System Review</w:t>
      </w:r>
      <w:r>
        <w:rPr>
          <w:b w:val="0"/>
          <w:i w:val="0"/>
        </w:rPr>
        <w:t xml:space="preserve"> (Dec 15, 2025), Day 1 reactor change table:</w:t>
      </w:r>
    </w:p>
    <w:p>
      <w:pPr>
        <w:spacing w:before="80" w:after="160"/>
        <w:ind w:left="504"/>
      </w:pPr>
      <w:r>
        <w:rPr>
          <w:i/>
          <w:color w:val="333333"/>
        </w:rPr>
        <w:t>"14" pipe reactor from 8" / Need more air to process more biomass / Reduced free board height for service / Reducing superficial velocity to 2.8 / 160 lbs of bed media."</w:t>
      </w:r>
    </w:p>
    <w:p>
      <w:r>
        <w:rPr>
          <w:b w:val="0"/>
          <w:i w:val="0"/>
        </w:rPr>
        <w:t xml:space="preserve">And the current drawings — </w:t>
      </w:r>
      <w:r>
        <w:rPr>
          <w:b/>
          <w:i w:val="0"/>
        </w:rPr>
        <w:t>DreamLine Systems (D02 &amp; D03) Piping &amp; Instrumentation Diagrams, revision 7/17/26</w:t>
      </w:r>
      <w:r>
        <w:rPr>
          <w:b w:val="0"/>
          <w:i w:val="0"/>
        </w:rPr>
        <w:t xml:space="preserve">, sheet 20 Fluidized Bed Reactor (rev B, R. Farber) — carry 14" line callouts on the reactor body, with vessel conditions </w:t>
      </w:r>
      <w:r>
        <w:rPr>
          <w:b w:val="0"/>
          <w:i/>
        </w:rPr>
        <w:t>"DES. PRESS.: 15 PSIG, OP. PRESS.: 4-8 PSIG DES. TEMP.: 650 °C OP. TEMP.: 500 °C."</w:t>
      </w:r>
    </w:p>
    <w:p>
      <w:r>
        <w:rPr>
          <w:b w:val="0"/>
          <w:i w:val="0"/>
        </w:rPr>
        <w:t xml:space="preserve">The contradictory line I flagged earlier — </w:t>
      </w:r>
      <w:r>
        <w:rPr>
          <w:b w:val="0"/>
          <w:i/>
        </w:rPr>
        <w:t>"DDR slides have been send around, going to the 8" reactor pipe from the 4""</w:t>
      </w:r>
      <w:r>
        <w:rPr>
          <w:b w:val="0"/>
          <w:i w:val="0"/>
        </w:rPr>
        <w:t xml:space="preserve"> in the same December scoping page — describes an earlier step. The table and the current drawings agree on 14 inches.</w:t>
      </w:r>
    </w:p>
    <w:p>
      <w:pPr>
        <w:pStyle w:val="Heading2"/>
      </w:pPr>
      <w:r>
        <w:rPr>
          <w:color w:val="1F3B57"/>
        </w:rPr>
        <w:t>A velocity number that does not reconcile</w:t>
      </w:r>
    </w:p>
    <w:p>
      <w:r>
        <w:rPr>
          <w:b w:val="0"/>
          <w:i w:val="0"/>
        </w:rPr>
        <w:t xml:space="preserve">The December scoping table says </w:t>
      </w:r>
      <w:r>
        <w:rPr>
          <w:b w:val="0"/>
          <w:i/>
        </w:rPr>
        <w:t>"Reducing superficial velocity to 2.8"</w:t>
      </w:r>
      <w:r>
        <w:rPr>
          <w:b w:val="0"/>
          <w:i w:val="0"/>
        </w:rPr>
        <w:t xml:space="preserve"> and the stack test plan lists </w:t>
      </w:r>
      <w:r>
        <w:rPr>
          <w:b w:val="0"/>
          <w:i/>
        </w:rPr>
        <w:t>"Fluidization velocity - 2.6-2.8 ft/s."</w:t>
      </w:r>
      <w:r>
        <w:rPr>
          <w:b w:val="0"/>
          <w:i w:val="0"/>
        </w:rPr>
        <w:t xml:space="preserve"> DreamCloud at 5 tons per day runs about half that:</w:t>
      </w:r>
    </w:p>
    <w:p>
      <w:pPr>
        <w:pStyle w:val="ListBullet"/>
      </w:pPr>
      <w:r>
        <w:t>D1-260429 — "Average Air Fluidization Velocity: 1.5 ft/s"</w:t>
      </w:r>
    </w:p>
    <w:p>
      <w:pPr>
        <w:pStyle w:val="ListBullet"/>
      </w:pPr>
      <w:r>
        <w:t>D1-260617 — "1.6 ft/s fluidization velocity"</w:t>
      </w:r>
    </w:p>
    <w:p>
      <w:pPr>
        <w:pStyle w:val="ListBullet"/>
      </w:pPr>
      <w:r>
        <w:t>D1-260602 — "normal 1.8 ft/s for process"</w:t>
      </w:r>
    </w:p>
    <w:p>
      <w:pPr>
        <w:pStyle w:val="ListBullet"/>
      </w:pPr>
      <w:r>
        <w:t>D1-260708 — "1.5 ft/s fluidization on about 70% blower"</w:t>
      </w:r>
    </w:p>
    <w:p>
      <w:r>
        <w:t>Neither the scoping page nor any test report states a basis for the 2.8 figure, so whether it is a different measurement basis or a superseded target is not recorded in the documents I read.</w:t>
      </w:r>
    </w:p>
    <w:p>
      <w:pPr>
        <w:pStyle w:val="Heading1"/>
      </w:pPr>
      <w:r>
        <w:rPr>
          <w:color w:val="1F3B57"/>
        </w:rPr>
        <w:t>What is the same</w:t>
      </w:r>
    </w:p>
    <w:p>
      <w:r>
        <w:rPr>
          <w:b/>
          <w:i w:val="0"/>
        </w:rPr>
        <w:t xml:space="preserve">Feedstock envelope. </w:t>
      </w:r>
      <w:r>
        <w:rPr>
          <w:b w:val="0"/>
          <w:i w:val="0"/>
        </w:rPr>
        <w:t xml:space="preserve">One spec for the family, stated in the Day 1 header of the scoping page: </w:t>
      </w:r>
      <w:r>
        <w:rPr>
          <w:b w:val="0"/>
          <w:i/>
        </w:rPr>
        <w:t>"D-series ATFBR biomass specs: 5-10% moisture, &lt;4 mm diameter max, d50 between 2-3 mm."</w:t>
      </w:r>
      <w:r>
        <w:rPr>
          <w:b w:val="0"/>
          <w:i w:val="0"/>
        </w:rPr>
        <w:t xml:space="preserve"> Every 5-ton run this year used </w:t>
      </w:r>
      <w:r>
        <w:rPr>
          <w:b w:val="0"/>
          <w:i/>
        </w:rPr>
        <w:t>"Hammermilled whole pine 1/4"."</w:t>
      </w:r>
    </w:p>
    <w:p>
      <w:r>
        <w:rPr>
          <w:b/>
          <w:i w:val="0"/>
        </w:rPr>
        <w:t xml:space="preserve">Reactor architecture and tag. </w:t>
      </w:r>
      <w:r>
        <w:rPr>
          <w:b w:val="0"/>
          <w:i w:val="0"/>
        </w:rPr>
        <w:t xml:space="preserve">The </w:t>
      </w:r>
      <w:r>
        <w:rPr>
          <w:b/>
          <w:i w:val="0"/>
        </w:rPr>
        <w:t>Dreamline PCN - 20 - Reactor Subsystems</w:t>
      </w:r>
      <w:r>
        <w:rPr>
          <w:b w:val="0"/>
          <w:i w:val="0"/>
        </w:rPr>
        <w:t xml:space="preserve"> (Reed Farber, version 1.3 "Dreamline Edits," 5/12/2026) keeps tag 20-R-01 and the same three zones, with process control off the average of four bed thermocouples (20-TYC-11), a typical band of 350–550 °C and a high-high alarm at 650 °C.</w:t>
      </w:r>
    </w:p>
    <w:p>
      <w:r>
        <w:rPr>
          <w:b/>
          <w:i w:val="0"/>
        </w:rPr>
        <w:t xml:space="preserve">Feedstock line. </w:t>
      </w:r>
      <w:r>
        <w:rPr>
          <w:b w:val="0"/>
          <w:i w:val="0"/>
        </w:rPr>
        <w:t xml:space="preserve">Shared across all three machines. Biomass Supply take-aways, </w:t>
      </w:r>
      <w:r>
        <w:rPr>
          <w:b/>
          <w:i w:val="0"/>
        </w:rPr>
        <w:t>DreamLine Design Scope Summary Output &amp; Actions</w:t>
      </w:r>
      <w:r>
        <w:rPr>
          <w:b w:val="0"/>
          <w:i w:val="0"/>
        </w:rPr>
        <w:t xml:space="preserve"> (Dec 19, 2025):</w:t>
      </w:r>
    </w:p>
    <w:p>
      <w:pPr>
        <w:spacing w:before="80" w:after="160"/>
        <w:ind w:left="504"/>
      </w:pPr>
      <w:r>
        <w:rPr>
          <w:i/>
          <w:color w:val="333333"/>
        </w:rPr>
        <w:t>"Current equipment will serve both Dreamlines and are sized for 4TPH, 2 hours/day would feed Dreamlines and 1 E-series" plus "Ensure DreamCloud feed is included."</w:t>
      </w:r>
    </w:p>
    <w:p>
      <w:r>
        <w:rPr>
          <w:b w:val="0"/>
          <w:i w:val="0"/>
        </w:rPr>
        <w:t xml:space="preserve">Each DreamLine gets its own storage wagon: </w:t>
      </w:r>
      <w:r>
        <w:rPr>
          <w:b w:val="0"/>
          <w:i/>
        </w:rPr>
        <w:t>"Each Dreamline will have a dedicated Forage wagon for storage and the scales we currently use for DreamCloud."</w:t>
      </w:r>
    </w:p>
    <w:p>
      <w:r>
        <w:rPr>
          <w:b/>
          <w:i w:val="0"/>
        </w:rPr>
        <w:t xml:space="preserve">Cyclone count. </w:t>
      </w:r>
      <w:r>
        <w:rPr>
          <w:b w:val="0"/>
          <w:i w:val="0"/>
        </w:rPr>
        <w:t xml:space="preserve">Still three. The December summary asked </w:t>
      </w:r>
      <w:r>
        <w:rPr>
          <w:b w:val="0"/>
          <w:i/>
        </w:rPr>
        <w:t>"Do we delete cyclone 3? let’s check AECN solids spec to inform Injection requirements,"</w:t>
      </w:r>
      <w:r>
        <w:rPr>
          <w:b w:val="0"/>
          <w:i w:val="0"/>
        </w:rPr>
        <w:t xml:space="preserve"> and the July drawings answer it — sheet 30 Biochar Separation shows three separators, 30-F-01, 30-F-02 and 30-F-03.</w:t>
      </w:r>
    </w:p>
    <w:p>
      <w:pPr>
        <w:pStyle w:val="Heading1"/>
      </w:pPr>
      <w:r>
        <w:rPr>
          <w:color w:val="1F3B57"/>
        </w:rPr>
        <w:t>What is different</w:t>
      </w:r>
    </w:p>
    <w:p>
      <w:pPr>
        <w:pStyle w:val="Heading2"/>
      </w:pPr>
      <w:r>
        <w:rPr>
          <w:color w:val="1F3B57"/>
        </w:rPr>
        <w:t>Emissions control — the big one</w:t>
      </w:r>
    </w:p>
    <w:p>
      <w:r>
        <w:rPr>
          <w:b w:val="0"/>
          <w:i w:val="0"/>
        </w:rPr>
        <w:t xml:space="preserve">DreamCloud burns tail gas in a repurposed Bighorn flare. The </w:t>
      </w:r>
      <w:r>
        <w:rPr>
          <w:b/>
          <w:i w:val="0"/>
        </w:rPr>
        <w:t>Report - Dreamcloud 3rd Party Emissions Testing, 2025/10/14</w:t>
      </w:r>
      <w:r>
        <w:rPr>
          <w:b w:val="0"/>
          <w:i w:val="0"/>
        </w:rPr>
        <w:t xml:space="preserve"> (Daniel Tsvankin, updated Nov 10, 2025), Background:</w:t>
      </w:r>
    </w:p>
    <w:p>
      <w:pPr>
        <w:spacing w:before="80" w:after="160"/>
        <w:ind w:left="504"/>
      </w:pPr>
      <w:r>
        <w:rPr>
          <w:i/>
          <w:color w:val="333333"/>
        </w:rPr>
        <w:t>"The Dreamcloud pyrolyzer uses largely the same hardware as Bighorn machines for mitigating emissions from syngas: Knockout drum, Parallel flame arresters, Propane doping inlet just upstream of flare manifold, Flare with Profire controller."</w:t>
      </w:r>
    </w:p>
    <w:p>
      <w:r>
        <w:rPr>
          <w:b w:val="0"/>
          <w:i w:val="0"/>
        </w:rPr>
        <w:t xml:space="preserve">DreamLine’s drawings call sheet 60 </w:t>
      </w:r>
      <w:r>
        <w:rPr>
          <w:b/>
          <w:i w:val="0"/>
        </w:rPr>
        <w:t>Syngas Oxidizer</w:t>
      </w:r>
      <w:r>
        <w:rPr>
          <w:b w:val="0"/>
          <w:i w:val="0"/>
        </w:rPr>
        <w:t xml:space="preserve">, owned by Kyle Walters, rated </w:t>
      </w:r>
      <w:r>
        <w:rPr>
          <w:b w:val="0"/>
          <w:i/>
        </w:rPr>
        <w:t>"DES. TEMP.: 900 °C OP. TEMP.: 720 °C"</w:t>
      </w:r>
      <w:r>
        <w:rPr>
          <w:b w:val="0"/>
          <w:i w:val="0"/>
        </w:rPr>
        <w:t xml:space="preserve"> — and it routes </w:t>
      </w:r>
      <w:r>
        <w:rPr>
          <w:b w:val="0"/>
          <w:i/>
        </w:rPr>
        <w:t>"FLUE GAS TO BIOMASS DRYING BMD-PID-01."</w:t>
      </w:r>
    </w:p>
    <w:p>
      <w:r>
        <w:t>Hannah’s summary of the 2026-05-29 design review in #pyrolysis-dreamline spells out the changes:</w:t>
      </w:r>
    </w:p>
    <w:p>
      <w:pPr>
        <w:spacing w:before="80" w:after="160"/>
        <w:ind w:left="504"/>
      </w:pPr>
      <w:r>
        <w:rPr>
          <w:i/>
          <w:color w:val="333333"/>
        </w:rPr>
        <w:t>"Compared to DreamCloud, several components were removed (knockout drum, dedicated fuel gas regulators, backup flame arrestors), the flare manifold holes were enlarged to reduce pressure drop, and dilution air/combustion logic was streamlined."</w:t>
      </w:r>
    </w:p>
    <w:p>
      <w:r>
        <w:t>The same summary records a permitting position:</w:t>
      </w:r>
    </w:p>
    <w:p>
      <w:pPr>
        <w:spacing w:before="80" w:after="160"/>
        <w:ind w:left="504"/>
      </w:pPr>
      <w:r>
        <w:rPr>
          <w:i/>
          <w:color w:val="333333"/>
        </w:rPr>
        <w:t>"the oxidizer must be classified as inherent to the pyrolysis process (not standalone emissions equipment) to avoid a costly Colorado synthetic minor source permit."</w:t>
      </w:r>
    </w:p>
    <w:p>
      <w:r>
        <w:t>That classification traces to Ramboll. Daniel Tsvankin, #pyrolysis-air-quality 2026-04-23:</w:t>
      </w:r>
    </w:p>
    <w:p>
      <w:pPr>
        <w:spacing w:before="80" w:after="160"/>
        <w:ind w:left="504"/>
      </w:pPr>
      <w:r>
        <w:rPr>
          <w:i/>
          <w:color w:val="333333"/>
        </w:rPr>
        <w:t>"APENs and construction permit thresholds apply to uncontrolled actual emissions from our pyrolysis process, and a thermal oxidizer is integral to our pyrolysis process… (for clarity: if an oxidizer is treated as a standalone piece of air pollution control equipment, not as part of the process, then our uncontrolled actual emissions are calculated based on our syngas composition &amp; flowrate, rather than oxidizer stack-out composition and flowrate)."</w:t>
      </w:r>
    </w:p>
    <w:p>
      <w:pPr>
        <w:pStyle w:val="Heading2"/>
      </w:pPr>
      <w:r>
        <w:rPr>
          <w:color w:val="1F3B57"/>
        </w:rPr>
        <w:t>Everything else</w:t>
      </w:r>
    </w:p>
    <w:p>
      <w:r>
        <w:rPr>
          <w:b/>
          <w:i w:val="0"/>
        </w:rPr>
        <w:t xml:space="preserve">Packaging. </w:t>
      </w:r>
      <w:r>
        <w:rPr>
          <w:b w:val="0"/>
          <w:i w:val="0"/>
        </w:rPr>
        <w:t xml:space="preserve">Meghan’s 2026-06-18 review has DreamLine’s char system </w:t>
      </w:r>
      <w:r>
        <w:rPr>
          <w:b w:val="0"/>
          <w:i/>
        </w:rPr>
        <w:t>"integrated into the new machine frame rather than a skid layout."</w:t>
      </w:r>
      <w:r>
        <w:rPr>
          <w:b w:val="0"/>
          <w:i w:val="0"/>
        </w:rPr>
        <w:t xml:space="preserve"> Kyle’s 2026-05-27 frame decisions give a 48′ × 35′ tent, 48-inch walkway, reactor and cyclones mounted to the frame.</w:t>
      </w:r>
    </w:p>
    <w:p>
      <w:r>
        <w:rPr>
          <w:b/>
          <w:i w:val="0"/>
        </w:rPr>
        <w:t xml:space="preserve">Char. </w:t>
      </w:r>
      <w:r>
        <w:rPr>
          <w:b w:val="0"/>
          <w:i/>
        </w:rPr>
        <w:t>"NO BARRELS,"</w:t>
      </w:r>
      <w:r>
        <w:rPr>
          <w:b w:val="0"/>
          <w:i w:val="0"/>
        </w:rPr>
        <w:t xml:space="preserve"> per the December summary, because </w:t>
      </w:r>
      <w:r>
        <w:rPr>
          <w:b w:val="0"/>
          <w:i/>
        </w:rPr>
        <w:t>"char in barrels have off gassing that has resulted in build up in the cyclones, and eventual clogging in the cyclones and downstream process piping."</w:t>
      </w:r>
      <w:r>
        <w:rPr>
          <w:b w:val="0"/>
          <w:i w:val="0"/>
        </w:rPr>
        <w:t xml:space="preserve"> Pneumatic conveyance at ~2200 ft/min replaces them, and sheet 31 of the drawings routes </w:t>
      </w:r>
      <w:r>
        <w:rPr>
          <w:b w:val="0"/>
          <w:i/>
        </w:rPr>
        <w:t>"BIOCHAR TO CHAR DENSIFICATION CH-PID."</w:t>
      </w:r>
    </w:p>
    <w:p>
      <w:r>
        <w:rPr>
          <w:b/>
          <w:i w:val="0"/>
        </w:rPr>
        <w:t xml:space="preserve">Oil. </w:t>
      </w:r>
      <w:r>
        <w:rPr>
          <w:b w:val="0"/>
          <w:i w:val="0"/>
        </w:rPr>
        <w:t xml:space="preserve">Sheet 43 Oil Transfer ends at </w:t>
      </w:r>
      <w:r>
        <w:rPr>
          <w:b w:val="0"/>
          <w:i/>
        </w:rPr>
        <w:t xml:space="preserve">"WHOLE BIO-OIL TO OIL STORAGE UTL-PID-10." </w:t>
      </w:r>
      <w:r>
        <w:rPr>
          <w:b/>
          <w:i w:val="0"/>
        </w:rPr>
        <w:t>Pyrolysis Tent Development- DreamLine and Beyond</w:t>
      </w:r>
      <w:r>
        <w:rPr>
          <w:b w:val="0"/>
          <w:i w:val="0"/>
        </w:rPr>
        <w:t xml:space="preserve"> (Hannah Deathe, updated Jul 21, 2026) gives the tank: </w:t>
      </w:r>
      <w:r>
        <w:rPr>
          <w:b w:val="0"/>
          <w:i/>
        </w:rPr>
        <w:t>"Oil tank storage size for DL is 10,000 gallons, current tank is already purchased."</w:t>
      </w:r>
    </w:p>
    <w:p>
      <w:r>
        <w:rPr>
          <w:b/>
          <w:i w:val="0"/>
        </w:rPr>
        <w:t xml:space="preserve">Sizing headroom. </w:t>
      </w:r>
      <w:r>
        <w:rPr>
          <w:b w:val="0"/>
          <w:i w:val="0"/>
        </w:rPr>
        <w:t xml:space="preserve">Hannah’s 2026-05-29 summary: the scrubber tower is </w:t>
      </w:r>
      <w:r>
        <w:rPr>
          <w:b w:val="0"/>
          <w:i/>
        </w:rPr>
        <w:t>"upgrading to a 12-inch pipe/vessel system to address pressure drop issues and increase throughput capacity to 6.1 tons per day (up from 5 TPD on DreamCloud)."</w:t>
      </w:r>
    </w:p>
    <w:p>
      <w:r>
        <w:rPr>
          <w:b/>
          <w:i w:val="0"/>
        </w:rPr>
        <w:t xml:space="preserve">Bed media. </w:t>
      </w:r>
      <w:r>
        <w:rPr>
          <w:b w:val="0"/>
          <w:i/>
        </w:rPr>
        <w:t>"Automated sand addition needs system design based on 5TPD."</w:t>
      </w:r>
      <w:r>
        <w:rPr>
          <w:b w:val="0"/>
          <w:i w:val="0"/>
        </w:rPr>
        <w:t xml:space="preserve"> DreamCloud adds sand by hand and logs it — every run objective from late April lists </w:t>
      </w:r>
      <w:r>
        <w:rPr>
          <w:b w:val="0"/>
          <w:i/>
        </w:rPr>
        <w:t>"Accurate sand &amp; water addition through logs."</w:t>
      </w:r>
    </w:p>
    <w:p>
      <w:r>
        <w:rPr>
          <w:b/>
          <w:i w:val="0"/>
        </w:rPr>
        <w:t xml:space="preserve">Instrumentation. </w:t>
      </w:r>
      <w:r>
        <w:rPr>
          <w:b w:val="0"/>
          <w:i/>
        </w:rPr>
        <w:t>"Removing 1x bed TC, keeping freeboard TCs"</w:t>
      </w:r>
      <w:r>
        <w:rPr>
          <w:b w:val="0"/>
          <w:i w:val="0"/>
        </w:rPr>
        <w:t xml:space="preserve"> and </w:t>
      </w:r>
      <w:r>
        <w:rPr>
          <w:b w:val="0"/>
          <w:i/>
        </w:rPr>
        <w:t>"Adding purged PT inside the bed to inform bed media density data."</w:t>
      </w:r>
    </w:p>
    <w:p>
      <w:r>
        <w:rPr>
          <w:b/>
          <w:i w:val="0"/>
        </w:rPr>
        <w:t xml:space="preserve">Coexistence. </w:t>
      </w:r>
      <w:r>
        <w:rPr>
          <w:b w:val="0"/>
          <w:i w:val="0"/>
        </w:rPr>
        <w:t xml:space="preserve">The tent will hold all three. Same tent page: </w:t>
      </w:r>
      <w:r>
        <w:rPr>
          <w:b w:val="0"/>
          <w:i/>
        </w:rPr>
        <w:t>"Current plan is for 2 DL and 1 DC."</w:t>
      </w:r>
      <w:r>
        <w:rPr>
          <w:b w:val="0"/>
          <w:i w:val="0"/>
        </w:rPr>
        <w:t xml:space="preserve"> That is the scenario you raised with Dillon in May 2025, and it is now the plan of record rather than the thing he hoped to avoid.</w:t>
      </w:r>
    </w:p>
    <w:p>
      <w:pPr>
        <w:pStyle w:val="Heading1"/>
      </w:pPr>
      <w:r>
        <w:rPr>
          <w:color w:val="1F3B57"/>
        </w:rPr>
        <w:t>Your tail-gas question — answered</w:t>
      </w:r>
    </w:p>
    <w:p>
      <w:r>
        <w:rPr>
          <w:b/>
          <w:i w:val="0"/>
        </w:rPr>
        <w:t>Charm has one third-party stack test, and it is on the 2-ton configuration.</w:t>
      </w:r>
      <w:r>
        <w:rPr>
          <w:b w:val="0"/>
          <w:i w:val="0"/>
        </w:rPr>
        <w:t xml:space="preserve"> Dillon posted the source documents this morning, #pyrolysis-air-quality 2026-07-30 10:24 PDT:</w:t>
      </w:r>
    </w:p>
    <w:p>
      <w:pPr>
        <w:spacing w:before="80" w:after="160"/>
        <w:ind w:left="504"/>
      </w:pPr>
      <w:r>
        <w:rPr>
          <w:i/>
          <w:color w:val="333333"/>
        </w:rPr>
        <w:t>"summaries of test campaigns from 2TPD testing with West environmental (steady state summaries are in the middle table on the ‘Stack Test Data (masses)’ tab)" and "actual 2TPD test report from West."</w:t>
      </w:r>
    </w:p>
    <w:p>
      <w:r>
        <w:t>The follow-up was booked and does not appear in the records. Daniel Tsvankin, #pyrolysis-dreamcloud 2025-10-15:</w:t>
      </w:r>
    </w:p>
    <w:p>
      <w:pPr>
        <w:spacing w:before="80" w:after="160"/>
        <w:ind w:left="504"/>
      </w:pPr>
      <w:r>
        <w:rPr>
          <w:i/>
          <w:color w:val="333333"/>
        </w:rPr>
        <w:t>"Dreamcloud is back on WEST’s schedule for two different weeks this upcoming winter: Jan 26-29 and Feb 23-26."</w:t>
      </w:r>
    </w:p>
    <w:p>
      <w:r>
        <w:t>The emissions report gives the reason for those dates:</w:t>
      </w:r>
    </w:p>
    <w:p>
      <w:pPr>
        <w:spacing w:before="80" w:after="160"/>
        <w:ind w:left="504"/>
      </w:pPr>
      <w:r>
        <w:rPr>
          <w:i/>
          <w:color w:val="333333"/>
        </w:rPr>
        <w:t>"This allows time for implementing changes to a finalized Dreamline (D-series Rev. 2) hardware and control configuration."</w:t>
      </w:r>
    </w:p>
    <w:p>
      <w:r>
        <w:rPr>
          <w:b w:val="0"/>
          <w:i w:val="0"/>
        </w:rPr>
        <w:t xml:space="preserve">Both windows fell before the 5-ton rebuild landed in late April. I read the </w:t>
      </w:r>
      <w:r>
        <w:rPr>
          <w:b/>
          <w:i w:val="0"/>
        </w:rPr>
        <w:t>Hotflow Testing</w:t>
      </w:r>
      <w:r>
        <w:rPr>
          <w:b w:val="0"/>
          <w:i w:val="0"/>
        </w:rPr>
        <w:t xml:space="preserve"> log in full — 32 numbered runs, September 2025 through 2026-07-23 — and D1-251014 is the single entry labelled a stack test. The runs falling inside those two booked weeks are listed as </w:t>
      </w:r>
      <w:r>
        <w:rPr>
          <w:b w:val="0"/>
          <w:i/>
        </w:rPr>
        <w:t>"ESP Testing (shorter ESP length)"</w:t>
      </w:r>
      <w:r>
        <w:rPr>
          <w:b w:val="0"/>
          <w:i w:val="0"/>
        </w:rPr>
        <w:t xml:space="preserve"> on 1/28/2026 and </w:t>
      </w:r>
      <w:r>
        <w:rPr>
          <w:b w:val="0"/>
          <w:i/>
        </w:rPr>
        <w:t>"ESP Testing (8/12 segments with 248 pins)"</w:t>
      </w:r>
      <w:r>
        <w:rPr>
          <w:b w:val="0"/>
          <w:i w:val="0"/>
        </w:rPr>
        <w:t xml:space="preserve"> on 2/5/2026.</w:t>
      </w:r>
    </w:p>
    <w:p>
      <w:r>
        <w:t>Daniel flagged the limitation himself at the time:</w:t>
      </w:r>
    </w:p>
    <w:p>
      <w:pPr>
        <w:spacing w:before="80" w:after="160"/>
        <w:ind w:left="504"/>
      </w:pPr>
      <w:r>
        <w:rPr>
          <w:i/>
          <w:color w:val="333333"/>
        </w:rPr>
        <w:t>"tl;dr is that yesterday isn’t entirely reflective of D-series emissions but has predictive value."</w:t>
      </w:r>
    </w:p>
    <w:p>
      <w:pPr>
        <w:pStyle w:val="Heading2"/>
      </w:pPr>
      <w:r>
        <w:rPr>
          <w:color w:val="1F3B57"/>
        </w:rPr>
        <w:t>And the combustion regime has changed in a way that matters</w:t>
      </w:r>
    </w:p>
    <w:p>
      <w:r>
        <w:t>At 2 tons per day the flare could not burn without help. From the report’s discussion:</w:t>
      </w:r>
    </w:p>
    <w:p>
      <w:pPr>
        <w:spacing w:before="80" w:after="160"/>
        <w:ind w:left="504"/>
      </w:pPr>
      <w:r>
        <w:rPr>
          <w:i/>
          <w:color w:val="333333"/>
        </w:rPr>
        <w:t>"Dreamcloud syngas has a low enough concentration of combustible fuel that, when introduced to air and a flame ignition source (the flare pilot) in the flare, the mixture is too lean to burn."</w:t>
      </w:r>
    </w:p>
    <w:p>
      <w:r>
        <w:t>The arithmetic given is a lower flammability limit of 10.4% against an actual combined fuel fraction of 8.95% after dilution air. Bighorn sits the other way, 7.4% against 13.02%. Syngas at 450 °C compared: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Constituent</w:t>
            </w:r>
          </w:p>
        </w:tc>
        <w:tc>
          <w:tcPr>
            <w:tcW w:type="dxa" w:w="2880"/>
          </w:tcPr>
          <w:p>
            <w:r>
              <w:rPr>
                <w:b/>
                <w:sz w:val="20"/>
              </w:rPr>
              <w:t>DreamCloud vol%</w:t>
            </w:r>
          </w:p>
        </w:tc>
        <w:tc>
          <w:tcPr>
            <w:tcW w:type="dxa" w:w="2880"/>
          </w:tcPr>
          <w:p>
            <w:r>
              <w:rPr>
                <w:b/>
                <w:sz w:val="20"/>
              </w:rPr>
              <w:t>Bighorn vol%</w:t>
            </w:r>
          </w:p>
        </w:tc>
      </w:tr>
      <w:tr>
        <w:tc>
          <w:tcPr>
            <w:tcW w:type="dxa" w:w="2880"/>
          </w:tcPr>
          <w:p>
            <w:r>
              <w:rPr>
                <w:sz w:val="20"/>
              </w:rPr>
              <w:t>N₂</w:t>
            </w:r>
          </w:p>
        </w:tc>
        <w:tc>
          <w:tcPr>
            <w:tcW w:type="dxa" w:w="2880"/>
          </w:tcPr>
          <w:p>
            <w:r>
              <w:rPr>
                <w:sz w:val="20"/>
              </w:rPr>
              <w:t>70.61</w:t>
            </w:r>
          </w:p>
        </w:tc>
        <w:tc>
          <w:tcPr>
            <w:tcW w:type="dxa" w:w="2880"/>
          </w:tcPr>
          <w:p>
            <w:r>
              <w:rPr>
                <w:sz w:val="20"/>
              </w:rPr>
              <w:t>56.47</w:t>
            </w:r>
          </w:p>
        </w:tc>
      </w:tr>
      <w:tr>
        <w:tc>
          <w:tcPr>
            <w:tcW w:type="dxa" w:w="2880"/>
          </w:tcPr>
          <w:p>
            <w:r>
              <w:rPr>
                <w:sz w:val="20"/>
              </w:rPr>
              <w:t>CO₂</w:t>
            </w:r>
          </w:p>
        </w:tc>
        <w:tc>
          <w:tcPr>
            <w:tcW w:type="dxa" w:w="2880"/>
          </w:tcPr>
          <w:p>
            <w:r>
              <w:rPr>
                <w:sz w:val="20"/>
              </w:rPr>
              <w:t>15.86</w:t>
            </w:r>
          </w:p>
        </w:tc>
        <w:tc>
          <w:tcPr>
            <w:tcW w:type="dxa" w:w="2880"/>
          </w:tcPr>
          <w:p>
            <w:r>
              <w:rPr>
                <w:sz w:val="20"/>
              </w:rPr>
              <w:t>18.8</w:t>
            </w:r>
          </w:p>
        </w:tc>
      </w:tr>
      <w:tr>
        <w:tc>
          <w:tcPr>
            <w:tcW w:type="dxa" w:w="2880"/>
          </w:tcPr>
          <w:p>
            <w:r>
              <w:rPr>
                <w:sz w:val="20"/>
              </w:rPr>
              <w:t>CO</w:t>
            </w:r>
          </w:p>
        </w:tc>
        <w:tc>
          <w:tcPr>
            <w:tcW w:type="dxa" w:w="2880"/>
          </w:tcPr>
          <w:p>
            <w:r>
              <w:rPr>
                <w:sz w:val="20"/>
              </w:rPr>
              <w:t>10.91</w:t>
            </w:r>
          </w:p>
        </w:tc>
        <w:tc>
          <w:tcPr>
            <w:tcW w:type="dxa" w:w="2880"/>
          </w:tcPr>
          <w:p>
            <w:r>
              <w:rPr>
                <w:sz w:val="20"/>
              </w:rPr>
              <w:t>15.24</w:t>
            </w:r>
          </w:p>
        </w:tc>
      </w:tr>
      <w:tr>
        <w:tc>
          <w:tcPr>
            <w:tcW w:type="dxa" w:w="2880"/>
          </w:tcPr>
          <w:p>
            <w:r>
              <w:rPr>
                <w:sz w:val="20"/>
              </w:rPr>
              <w:t>CH₄</w:t>
            </w:r>
          </w:p>
        </w:tc>
        <w:tc>
          <w:tcPr>
            <w:tcW w:type="dxa" w:w="2880"/>
          </w:tcPr>
          <w:p>
            <w:r>
              <w:rPr>
                <w:sz w:val="20"/>
              </w:rPr>
              <w:t>1.34</w:t>
            </w:r>
          </w:p>
        </w:tc>
        <w:tc>
          <w:tcPr>
            <w:tcW w:type="dxa" w:w="2880"/>
          </w:tcPr>
          <w:p>
            <w:r>
              <w:rPr>
                <w:sz w:val="20"/>
              </w:rPr>
              <w:t>4.05</w:t>
            </w:r>
          </w:p>
        </w:tc>
      </w:tr>
      <w:tr>
        <w:tc>
          <w:tcPr>
            <w:tcW w:type="dxa" w:w="2880"/>
          </w:tcPr>
          <w:p>
            <w:r>
              <w:rPr>
                <w:sz w:val="20"/>
              </w:rPr>
              <w:t>H₂</w:t>
            </w:r>
          </w:p>
        </w:tc>
        <w:tc>
          <w:tcPr>
            <w:tcW w:type="dxa" w:w="2880"/>
          </w:tcPr>
          <w:p>
            <w:r>
              <w:rPr>
                <w:sz w:val="20"/>
              </w:rPr>
              <w:t>0.21</w:t>
            </w:r>
          </w:p>
        </w:tc>
        <w:tc>
          <w:tcPr>
            <w:tcW w:type="dxa" w:w="2880"/>
          </w:tcPr>
          <w:p>
            <w:r>
              <w:rPr>
                <w:sz w:val="20"/>
              </w:rPr>
              <w:t>5.05</w:t>
            </w:r>
          </w:p>
        </w:tc>
      </w:tr>
      <w:tr>
        <w:tc>
          <w:tcPr>
            <w:tcW w:type="dxa" w:w="2880"/>
          </w:tcPr>
          <w:p>
            <w:r>
              <w:rPr>
                <w:sz w:val="20"/>
              </w:rPr>
              <w:t>O₂</w:t>
            </w:r>
          </w:p>
        </w:tc>
        <w:tc>
          <w:tcPr>
            <w:tcW w:type="dxa" w:w="2880"/>
          </w:tcPr>
          <w:p>
            <w:r>
              <w:rPr>
                <w:sz w:val="20"/>
              </w:rPr>
              <w:t>1.07</w:t>
            </w:r>
          </w:p>
        </w:tc>
        <w:tc>
          <w:tcPr>
            <w:tcW w:type="dxa" w:w="2880"/>
          </w:tcPr>
          <w:p>
            <w:r>
              <w:rPr>
                <w:sz w:val="20"/>
              </w:rPr>
              <w:t>0.39</w:t>
            </w:r>
          </w:p>
        </w:tc>
      </w:tr>
    </w:tbl>
    <w:p/>
    <w:p>
      <w:r>
        <w:t>Continuous low-flow propane fixed it:</w:t>
      </w:r>
    </w:p>
    <w:p>
      <w:pPr>
        <w:spacing w:before="80" w:after="160"/>
        <w:ind w:left="504"/>
      </w:pPr>
      <w:r>
        <w:rPr>
          <w:i/>
          <w:color w:val="333333"/>
        </w:rPr>
        <w:t>"average CO concentrations exceeded 1000ppm; WEST test technicians stated that the concentration was likely in excess of 5,000ppm, but their instrument calibration could only support a formal reading up to 1992 ppm" without it, against "CO concentrations were below 10ppm and VOCs were undetectable" with it.</w:t>
      </w:r>
    </w:p>
    <w:p>
      <w:r>
        <w:rPr>
          <w:b w:val="0"/>
          <w:i w:val="0"/>
        </w:rPr>
        <w:t xml:space="preserve">At 5 tons per day that dependency is gone. </w:t>
      </w:r>
      <w:r>
        <w:rPr>
          <w:b/>
          <w:i w:val="0"/>
        </w:rPr>
        <w:t>D1-260429</w:t>
      </w:r>
      <w:r>
        <w:rPr>
          <w:b w:val="0"/>
          <w:i w:val="0"/>
        </w:rPr>
        <w:t xml:space="preserve">, Test Summary: </w:t>
      </w:r>
      <w:r>
        <w:rPr>
          <w:b w:val="0"/>
          <w:i/>
        </w:rPr>
        <w:t xml:space="preserve">"Flare combustion ran on zero propane doping across a 700-850C combustion range with CO &lt; 30 ppmv and NOx &lt; 50 ppmv, a major improvement over the prior week when fuel-rich syngas had required excess dilution air to keep flare temp below 1000C." </w:t>
      </w:r>
      <w:r>
        <w:rPr>
          <w:b/>
          <w:i w:val="0"/>
        </w:rPr>
        <w:t>D1-260708</w:t>
      </w:r>
      <w:r>
        <w:rPr>
          <w:b w:val="0"/>
          <w:i w:val="0"/>
        </w:rPr>
        <w:t xml:space="preserve">, Summary: </w:t>
      </w:r>
      <w:r>
        <w:rPr>
          <w:b w:val="0"/>
          <w:i/>
        </w:rPr>
        <w:t>"a flare holding near 800 °C with no propane."</w:t>
      </w:r>
    </w:p>
    <w:p>
      <w:r>
        <w:rPr>
          <w:b w:val="0"/>
          <w:i w:val="0"/>
        </w:rPr>
        <w:t xml:space="preserve">So the existing test characterises a different reactor, a different precipitator arrangement, a different char system and a different combustion regime with a propane input that no longer applies. Your July 20 plan to Tom and Tim — </w:t>
      </w:r>
      <w:r>
        <w:rPr>
          <w:b w:val="0"/>
          <w:i/>
        </w:rPr>
        <w:t>"obtain a new tail-gas emissions test for the D-series and use the results to update the scaling factor applied to biomass throughput"</w:t>
      </w:r>
      <w:r>
        <w:rPr>
          <w:b w:val="0"/>
          <w:i w:val="0"/>
        </w:rPr>
        <w:t xml:space="preserve"> — is the right call, and it is not partly done.</w:t>
      </w:r>
    </w:p>
    <w:p>
      <w:pPr>
        <w:pStyle w:val="Heading2"/>
      </w:pPr>
      <w:r>
        <w:rPr>
          <w:color w:val="1F3B57"/>
        </w:rPr>
        <w:t>The internal measurements will not substitute</w:t>
      </w:r>
    </w:p>
    <w:p>
      <w:r>
        <w:rPr>
          <w:b w:val="0"/>
          <w:i w:val="0"/>
        </w:rPr>
        <w:t xml:space="preserve">Kyle Walters and Joe Polin ran flare measurements on 7/23 and results were good — Kyle, #pyrolysis-air-quality 2026-07-29: </w:t>
      </w:r>
      <w:r>
        <w:rPr>
          <w:b w:val="0"/>
          <w:i/>
        </w:rPr>
        <w:t>"I confirmed with Joe that we had good destruction last Thursday, which is good news."</w:t>
      </w:r>
      <w:r>
        <w:rPr>
          <w:b w:val="0"/>
          <w:i w:val="0"/>
        </w:rPr>
        <w:t xml:space="preserve"> Those use the on-board analyser, which the DreamLine drawings label </w:t>
      </w:r>
      <w:r>
        <w:rPr>
          <w:b w:val="0"/>
          <w:i/>
        </w:rPr>
        <w:t>"[DIAGNOSTICS ONLY] EMISSIONS MRU GAS ANALYZER"</w:t>
      </w:r>
      <w:r>
        <w:rPr>
          <w:b w:val="0"/>
          <w:i w:val="0"/>
        </w:rPr>
        <w:t xml:space="preserve"> on sheets 51 and 60.</w:t>
      </w:r>
    </w:p>
    <w:p>
      <w:r>
        <w:t>On the accreditation bar, I have not opened the protocol this session. My source is your own statement of the requirement in a group DM with Lina Zhu and Brent on 2025-10-01, where you wrote that:</w:t>
      </w:r>
    </w:p>
    <w:p>
      <w:pPr>
        <w:spacing w:before="80" w:after="160"/>
        <w:ind w:left="504"/>
      </w:pPr>
      <w:r>
        <w:rPr>
          <w:i/>
          <w:color w:val="333333"/>
        </w:rPr>
        <w:t>"there is a requirement in the protocol that stack testing used to quantify emissions are ‘produced by a qualified emissions testing company, accredited to the Stack Testing Accreditation Council for ASTM D7036, ISO 17025, or approved by state regulatory authority to perform compliance emissions testing’."</w:t>
      </w:r>
    </w:p>
    <w:p>
      <w:r>
        <w:t>Treat that as your paraphrase-plus-quote rather than a verified protocol citation until one of us reads the clause.</w:t>
      </w:r>
    </w:p>
    <w:p>
      <w:pPr>
        <w:pStyle w:val="Heading2"/>
      </w:pPr>
      <w:r>
        <w:rPr>
          <w:color w:val="1F3B57"/>
        </w:rPr>
        <w:t>The flare geometry is unsettled</w:t>
      </w:r>
    </w:p>
    <w:p>
      <w:r>
        <w:rPr>
          <w:b w:val="0"/>
          <w:i w:val="0"/>
        </w:rPr>
        <w:t xml:space="preserve">Kyle Walters, #pyrolysis-air-quality 2026-07-22: </w:t>
      </w:r>
      <w:r>
        <w:rPr>
          <w:b w:val="0"/>
          <w:i/>
        </w:rPr>
        <w:t>"The basic goal is to vary the temperature setpoint of the flare to measure CH4, CO, and NOx as well as flare body temperatures at various 02 passthrough values to help us determine if and by how much we need to enlarge the flare for Dreamline."</w:t>
      </w:r>
      <w:r>
        <w:rPr>
          <w:b w:val="0"/>
          <w:i w:val="0"/>
        </w:rPr>
        <w:t xml:space="preserve"> Still open as of yesterday — Kyle, 2026-07-29: </w:t>
      </w:r>
      <w:r>
        <w:rPr>
          <w:b w:val="0"/>
          <w:i/>
        </w:rPr>
        <w:t>"before deciding on if and by how much we want geometry to change."</w:t>
      </w:r>
    </w:p>
    <w:p>
      <w:r>
        <w:t>Behind it, an incomplete-combustion finding from the 24-hour run. Kyle, 2026-07-16:</w:t>
      </w:r>
    </w:p>
    <w:p>
      <w:pPr>
        <w:spacing w:before="80" w:after="160"/>
        <w:ind w:left="504"/>
      </w:pPr>
      <w:r>
        <w:rPr>
          <w:i/>
          <w:color w:val="333333"/>
        </w:rPr>
        <w:t>"Flames indicate incomplete combustion in stack, potentially allowing volatiles to escape and/or be over-measured with MRU at top of stack. Additionally, this may cause problems with Mark’s ventilation at DL level as we plan to use the same flare."</w:t>
      </w:r>
    </w:p>
    <w:p>
      <w:r>
        <w:t>Eric Jackson, 2026-07-13:</w:t>
      </w:r>
    </w:p>
    <w:p>
      <w:pPr>
        <w:spacing w:before="80" w:after="160"/>
        <w:ind w:left="504"/>
      </w:pPr>
      <w:r>
        <w:rPr>
          <w:i/>
          <w:color w:val="333333"/>
        </w:rPr>
        <w:t>"That is normal operation at 5tpd now, we knew the flame was much above the burner manifold and pilot, but running it at night showed that we are combusting much higher up."</w:t>
      </w:r>
    </w:p>
    <w:p>
      <w:r>
        <w:t>Booking a test before that geometry settles risks testing hardware that then changes.</w:t>
      </w:r>
    </w:p>
    <w:p>
      <w:pPr>
        <w:pStyle w:val="Heading1"/>
      </w:pPr>
      <w:r>
        <w:rPr>
          <w:color w:val="1F3B57"/>
        </w:rPr>
        <w:t>Your other MRV items</w:t>
      </w:r>
    </w:p>
    <w:p>
      <w:r>
        <w:rPr>
          <w:b/>
          <w:i w:val="0"/>
        </w:rPr>
        <w:t xml:space="preserve">Automated traceability is marked Critical with your name on it. </w:t>
      </w:r>
      <w:r>
        <w:rPr>
          <w:b w:val="0"/>
          <w:i w:val="0"/>
        </w:rPr>
        <w:t>The DreamCloud lessons-learned spreadsheet has an MRV row. Current state:</w:t>
      </w:r>
    </w:p>
    <w:p>
      <w:pPr>
        <w:spacing w:before="80" w:after="160"/>
        <w:ind w:left="504"/>
      </w:pPr>
      <w:r>
        <w:rPr>
          <w:i/>
          <w:color w:val="333333"/>
        </w:rPr>
        <w:t>"Minimum data collection facilitated by system design features: - Biomass infeed mass &amp; throughput --&gt; sensor data - Water consumption --&gt; manual data? - Bed media consumption --&gt; manual data (scales/other) - Char production --&gt; manual data (scales) - Oil production --&gt; manual data (scales)."</w:t>
      </w:r>
    </w:p>
    <w:p>
      <w:r>
        <w:rPr>
          <w:b w:val="0"/>
          <w:i w:val="0"/>
        </w:rPr>
        <w:t xml:space="preserve">DreamLine task: </w:t>
      </w:r>
      <w:r>
        <w:rPr>
          <w:b w:val="0"/>
          <w:i/>
        </w:rPr>
        <w:t>"Iterate with system REs to ensure proper sensor package is integrated for automated MRV traceability &lt;-&gt; char/oil products,"</w:t>
      </w:r>
      <w:r>
        <w:rPr>
          <w:b w:val="0"/>
          <w:i w:val="0"/>
        </w:rPr>
        <w:t xml:space="preserve"> owner Jackson Lisec, stakeholders </w:t>
      </w:r>
      <w:r>
        <w:rPr>
          <w:b w:val="0"/>
          <w:i/>
        </w:rPr>
        <w:t>"Max Lavine Garrett Lutz,"</w:t>
      </w:r>
      <w:r>
        <w:rPr>
          <w:b w:val="0"/>
          <w:i w:val="0"/>
        </w:rPr>
        <w:t xml:space="preserve"> priority </w:t>
      </w:r>
      <w:r>
        <w:rPr>
          <w:b w:val="0"/>
          <w:i/>
        </w:rPr>
        <w:t>"Critical."</w:t>
      </w:r>
    </w:p>
    <w:p>
      <w:r>
        <w:rPr>
          <w:b/>
          <w:i w:val="0"/>
        </w:rPr>
        <w:t xml:space="preserve">The mass measurement Charm would lean on is called unreliable in the same sheet. </w:t>
      </w:r>
      <w:r>
        <w:rPr>
          <w:b w:val="0"/>
          <w:i w:val="0"/>
        </w:rPr>
        <w:t>Two entries:</w:t>
      </w:r>
    </w:p>
    <w:p>
      <w:pPr>
        <w:spacing w:before="80" w:after="160"/>
        <w:ind w:left="504"/>
      </w:pPr>
      <w:r>
        <w:rPr>
          <w:i/>
          <w:color w:val="333333"/>
        </w:rPr>
        <w:t>"No accurate weight on Acrison | Wind + micrometer-level measurements on scale equals no consistent measurements"</w:t>
      </w:r>
    </w:p>
    <w:p>
      <w:pPr>
        <w:spacing w:before="80" w:after="160"/>
        <w:ind w:left="504"/>
      </w:pPr>
      <w:r>
        <w:rPr>
          <w:i/>
          <w:color w:val="333333"/>
        </w:rPr>
        <w:t>"Load cells give us lots of problems | Load cells are hard to rely on since we are in a changing/dirty/outdoor environment. We also don’t have the best setup to be able to install, calibrate, and maintain calibration on load cells. Need to consider designing these out of future projects."</w:t>
      </w:r>
    </w:p>
    <w:p>
      <w:r>
        <w:rPr>
          <w:b w:val="0"/>
          <w:i w:val="0"/>
        </w:rPr>
        <w:t xml:space="preserve">The December scoping page sets a tolerance suited to process control: </w:t>
      </w:r>
      <w:r>
        <w:rPr>
          <w:b w:val="0"/>
          <w:i/>
        </w:rPr>
        <w:t>"We really just care about the delta (over 30 minutes) and not if they aren’t drifting within a day or week."</w:t>
      </w:r>
      <w:r>
        <w:rPr>
          <w:b w:val="0"/>
          <w:i w:val="0"/>
        </w:rPr>
        <w:t xml:space="preserve"> It also leaves the question open — </w:t>
      </w:r>
      <w:r>
        <w:rPr>
          <w:b w:val="0"/>
          <w:i/>
        </w:rPr>
        <w:t>"Keep the forge wagon scales for now TBD if they are used for MRV or just telemetry"</w:t>
      </w:r>
      <w:r>
        <w:rPr>
          <w:b w:val="0"/>
          <w:i w:val="0"/>
        </w:rPr>
        <w:t xml:space="preserve"> and </w:t>
      </w:r>
      <w:r>
        <w:rPr>
          <w:b w:val="0"/>
          <w:i/>
        </w:rPr>
        <w:t>"Where will be the MRV gating, need to understand what scale can we calibrated for MRV."</w:t>
      </w:r>
    </w:p>
    <w:p>
      <w:r>
        <w:rPr>
          <w:b/>
          <w:i w:val="0"/>
        </w:rPr>
        <w:t xml:space="preserve">Sand. </w:t>
      </w:r>
      <w:r>
        <w:rPr>
          <w:b w:val="0"/>
          <w:i w:val="0"/>
        </w:rPr>
        <w:t xml:space="preserve">Reactor/Blower section of the December summary: </w:t>
      </w:r>
      <w:r>
        <w:rPr>
          <w:b w:val="0"/>
          <w:i/>
        </w:rPr>
        <w:t>"Does sand need to be tracked for MRV purposes? expect yes, but need to check if we can do it at the inventory level instead of on machine."</w:t>
      </w:r>
    </w:p>
    <w:p>
      <w:r>
        <w:rPr>
          <w:b/>
          <w:i w:val="0"/>
        </w:rPr>
        <w:t xml:space="preserve">Water. </w:t>
      </w:r>
      <w:r>
        <w:rPr>
          <w:b w:val="0"/>
          <w:i w:val="0"/>
        </w:rPr>
        <w:t xml:space="preserve">A second MRV row in the lessons-learned sheet: </w:t>
      </w:r>
      <w:r>
        <w:rPr>
          <w:b w:val="0"/>
          <w:i/>
        </w:rPr>
        <w:t>"Minimize water consumption for quench and char cooling to streamline operating requirements (water hauling) and MRV impacts,"</w:t>
      </w:r>
      <w:r>
        <w:rPr>
          <w:b w:val="0"/>
          <w:i w:val="0"/>
        </w:rPr>
        <w:t xml:space="preserve"> stakeholders you and Garrett, priority Medium.</w:t>
      </w:r>
    </w:p>
    <w:p>
      <w:r>
        <w:t>Two of these are assigned to Jackson Lisec, whose account the wiki marks unlicensed.</w:t>
      </w:r>
    </w:p>
    <w:p>
      <w:pPr>
        <w:pStyle w:val="Heading2"/>
      </w:pPr>
      <w:r>
        <w:rPr>
          <w:color w:val="1F3B57"/>
        </w:rPr>
        <w:t>Data already recorded that you may not have</w:t>
      </w:r>
    </w:p>
    <w:p>
      <w:r>
        <w:rPr>
          <w:b/>
          <w:i w:val="0"/>
        </w:rPr>
        <w:t>D1-260429</w:t>
      </w:r>
      <w:r>
        <w:rPr>
          <w:b w:val="0"/>
          <w:i w:val="0"/>
        </w:rPr>
        <w:t xml:space="preserve">, Mass Balance Details, steady state 10:07 AM – 1:19 PM: </w:t>
      </w:r>
      <w:r>
        <w:rPr>
          <w:b w:val="0"/>
          <w:i/>
        </w:rPr>
        <w:t>"Feedstock Mass In (kg) 621.3 / Biochar Mass Out (kg) *including sand 68.5 / Bio-oil Mass Out (kg) 427.0 / Syngas Mass Out (kg) 232.9."</w:t>
      </w:r>
    </w:p>
    <w:p>
      <w:r>
        <w:rPr>
          <w:b w:val="0"/>
          <w:i w:val="0"/>
        </w:rPr>
        <w:t xml:space="preserve">Same report, Electrical Power Consumption: </w:t>
      </w:r>
      <w:r>
        <w:rPr>
          <w:b w:val="0"/>
          <w:i/>
        </w:rPr>
        <w:t>"The electrical power consumption for pyrolysis was estimated to be ~193 kWh per tonne of as-process pine biomass."</w:t>
      </w:r>
    </w:p>
    <w:p>
      <w:r>
        <w:t>Same report, McCreath Labs analysis of the pine — moisture 5.88% as received, ash 0.29%, carbon 49.01% as received and 52.07% dry — and of two char samples, carbon 77.56% and 76.80% as received, ash 9.07% and 9.01%.</w:t>
      </w:r>
    </w:p>
    <w:p>
      <w:r>
        <w:rPr>
          <w:b/>
          <w:i w:val="0"/>
        </w:rPr>
        <w:t>D1-260602</w:t>
      </w:r>
      <w:r>
        <w:rPr>
          <w:b w:val="0"/>
          <w:i w:val="0"/>
        </w:rPr>
        <w:t xml:space="preserve"> carries mass balance, carbon balance and a Sankey. </w:t>
      </w:r>
      <w:r>
        <w:rPr>
          <w:b/>
          <w:i w:val="0"/>
        </w:rPr>
        <w:t>D1-260708</w:t>
      </w:r>
      <w:r>
        <w:rPr>
          <w:b w:val="0"/>
          <w:i w:val="0"/>
        </w:rPr>
        <w:t xml:space="preserve">, Summary: </w:t>
      </w:r>
      <w:r>
        <w:rPr>
          <w:b w:val="0"/>
          <w:i/>
        </w:rPr>
        <w:t>"Charm’s first serious attempt to produce MRV-able bio-oil from the DreamCloud reactor — oil ultimately intended for processing and injection in Louisiana toward the company’s 2026 Frontier tonnage,"</w:t>
      </w:r>
      <w:r>
        <w:rPr>
          <w:b w:val="0"/>
          <w:i w:val="0"/>
        </w:rPr>
        <w:t xml:space="preserve"> landing </w:t>
      </w:r>
      <w:r>
        <w:rPr>
          <w:b w:val="0"/>
          <w:i/>
        </w:rPr>
        <w:t xml:space="preserve">"12.9 hours of cumulative steady-state runtime at 5 TPD against a 24-hour target." </w:t>
      </w:r>
      <w:r>
        <w:rPr>
          <w:b/>
          <w:i w:val="0"/>
        </w:rPr>
        <w:t>D1-260723</w:t>
      </w:r>
      <w:r>
        <w:rPr>
          <w:b w:val="0"/>
          <w:i w:val="0"/>
        </w:rPr>
        <w:t xml:space="preserve">, Summary: ESP oil elemental analysis </w:t>
      </w:r>
      <w:r>
        <w:rPr>
          <w:b w:val="0"/>
          <w:i/>
        </w:rPr>
        <w:t>"showed 52.8% C (ESP-A-1) and 51.8% C (ESP-A-2), with Karl Fischer moisture and ICP panels to follow."</w:t>
      </w:r>
    </w:p>
    <w:p>
      <w:pPr>
        <w:pStyle w:val="Heading1"/>
      </w:pPr>
      <w:r>
        <w:rPr>
          <w:color w:val="1F3B57"/>
        </w:rPr>
        <w:t>Live conflicts between the drawings and the test results</w:t>
      </w:r>
    </w:p>
    <w:p>
      <w:r>
        <w:t>Three places where the 7/17 drawings and later test findings disagree, worth knowing before writing PDD language against either.</w:t>
      </w:r>
    </w:p>
    <w:p>
      <w:r>
        <w:rPr>
          <w:b/>
          <w:i w:val="0"/>
        </w:rPr>
        <w:t xml:space="preserve">1. Quench nozzles. </w:t>
      </w:r>
      <w:r>
        <w:rPr>
          <w:b w:val="0"/>
          <w:i w:val="0"/>
        </w:rPr>
        <w:t xml:space="preserve">Sheet 40 shows five nozzle positions including flat-fan and hollow-cone types. Six days later </w:t>
      </w:r>
      <w:r>
        <w:rPr>
          <w:b/>
          <w:i w:val="0"/>
        </w:rPr>
        <w:t>D1-260723</w:t>
      </w:r>
      <w:r>
        <w:rPr>
          <w:b w:val="0"/>
          <w:i w:val="0"/>
        </w:rPr>
        <w:t xml:space="preserve"> concluded </w:t>
      </w:r>
      <w:r>
        <w:rPr>
          <w:b w:val="0"/>
          <w:i/>
        </w:rPr>
        <w:t>"the triple nozzle cannot meet the &lt;120 °C quench target at 5 TPD"</w:t>
      </w:r>
      <w:r>
        <w:rPr>
          <w:b w:val="0"/>
          <w:i w:val="0"/>
        </w:rPr>
        <w:t xml:space="preserve"> — quench lateral held near 180 °C, the nozzle was found coked, and the team reverted to the single SS14.</w:t>
      </w:r>
    </w:p>
    <w:p>
      <w:r>
        <w:rPr>
          <w:b/>
          <w:i w:val="0"/>
        </w:rPr>
        <w:t xml:space="preserve">2. Oil recirculation pump. </w:t>
      </w:r>
      <w:r>
        <w:rPr>
          <w:b w:val="0"/>
          <w:i w:val="0"/>
        </w:rPr>
        <w:t xml:space="preserve">Sheet 52 specifies </w:t>
      </w:r>
      <w:r>
        <w:rPr>
          <w:b w:val="0"/>
          <w:i/>
        </w:rPr>
        <w:t>"CAPACITY: 24.7 GPM @ 125 PSI."</w:t>
      </w:r>
      <w:r>
        <w:rPr>
          <w:b w:val="0"/>
          <w:i w:val="0"/>
        </w:rPr>
        <w:t xml:space="preserve"> The same test found </w:t>
      </w:r>
      <w:r>
        <w:rPr>
          <w:b w:val="0"/>
          <w:i/>
        </w:rPr>
        <w:t>"The scrubber pump was found to be a potential bottleneck, running at its rated-max 125 psig at 80% speed while still leaving the outlet at 45 °C (cooling-limited)."</w:t>
      </w:r>
    </w:p>
    <w:p>
      <w:r>
        <w:rPr>
          <w:b/>
          <w:i w:val="0"/>
        </w:rPr>
        <w:t xml:space="preserve">3. Cyclone 3 vessel size. </w:t>
      </w:r>
      <w:r>
        <w:rPr>
          <w:b w:val="0"/>
          <w:i w:val="0"/>
        </w:rPr>
        <w:t xml:space="preserve">Sheet 30 lists a 408-gallon carbon-steel vessel with a 304 stainless lid. Meghan’s 2026-06-18 review put it at </w:t>
      </w:r>
      <w:r>
        <w:rPr>
          <w:b w:val="0"/>
          <w:i/>
        </w:rPr>
        <w:t>"105 gallons (with 10% buffer),"</w:t>
      </w:r>
      <w:r>
        <w:rPr>
          <w:b w:val="0"/>
          <w:i w:val="0"/>
        </w:rPr>
        <w:t xml:space="preserve"> and the 2026-06-03 review at </w:t>
      </w:r>
      <w:r>
        <w:rPr>
          <w:b w:val="0"/>
          <w:i/>
        </w:rPr>
        <w:t>"12" diameter × 36" long pipe based on a 6.1 TPD throughput and weekly collection frequency (~15.8 gal)."</w:t>
      </w:r>
      <w:r>
        <w:rPr>
          <w:b w:val="0"/>
          <w:i w:val="0"/>
        </w:rPr>
        <w:t xml:space="preserve"> Three sizes across two months.</w:t>
      </w:r>
    </w:p>
    <w:p>
      <w:r>
        <w:rPr>
          <w:b w:val="0"/>
          <w:i w:val="0"/>
        </w:rPr>
        <w:t xml:space="preserve">Smaller drafting notes: </w:t>
      </w:r>
      <w:r>
        <w:rPr>
          <w:b w:val="0"/>
          <w:i w:val="0"/>
        </w:rPr>
        <w:t xml:space="preserve">the D02 drawings still carry a few D01 cross-references on sheets 11, 43 and 51, and the D1-260602 report’s header field reads </w:t>
      </w:r>
      <w:r>
        <w:rPr>
          <w:b w:val="0"/>
          <w:i/>
        </w:rPr>
        <w:t>"Hotflow ID: D1-260514."</w:t>
      </w:r>
      <w:r>
        <w:rPr>
          <w:b w:val="0"/>
          <w:i w:val="0"/>
        </w:rPr>
        <w:t xml:space="preserve"> Neither changes anything technical.</w:t>
      </w:r>
    </w:p>
    <w:p>
      <w:pPr>
        <w:pStyle w:val="Heading1"/>
      </w:pPr>
      <w:r>
        <w:rPr>
          <w:color w:val="1F3B57"/>
        </w:rPr>
        <w:t>What I read</w:t>
      </w:r>
    </w:p>
    <w:p>
      <w:r>
        <w:t>Fifteen Confluence pages in the ATFBR space in full: the two DreamLine scoping and summary pages, Reactor D-Series, Biomass D-Series, Cyclones + Char Handling D-Series, Condensing D-Series, System Design D-Series, Flue Gas D-Series, Frame and Layout, Pyrolysis Tent Development, both landing pages, both reactor control narratives, Dreamline 5TPD System Design, the Hotflow Testing log, D1-251014 (3rd Party Stack Test), and Report - Dreamcloud 3rd Party Emissions Testing 2025/10/14.</w:t>
      </w:r>
    </w:p>
    <w:p>
      <w:r>
        <w:t>Every report in the 5-ton campaign: D1-260423, 260429, 260507, 260514, 260602, 260604, 260617, 260625, 260708, 260723.</w:t>
      </w:r>
    </w:p>
    <w:p>
      <w:r>
        <w:t>In Drive: the DreamCloud lessons-learned spreadsheet in full, and the DreamLine D02/D03 drawing set, revision 7/17/26, all 18 sheets.</w:t>
      </w:r>
    </w:p>
    <w:p>
      <w:r>
        <w:t>In Slack: #pyrolysis-air-quality read back to the channel’s creation, plus searches across #pyrolysis-dreamline, #pyrolysis-dreamcloud, #mrv-ops-co, #mrv-ops-la, #team-mrv and your DMs.</w:t>
      </w:r>
    </w:p>
    <w:p>
      <w:r>
        <w:t>D1-260625’s summary section is blank on the page. The campaign charts and mass-balance tables are embedded images, so I have the figures the reports state in their text but not the plotted traces.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