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40"/>
        </w:rPr>
        <w:t>MRV Product Roadmap 2027</w:t>
      </w:r>
    </w:p>
    <w:p>
      <w:r>
        <w:rPr>
          <w:color w:val="555555"/>
          <w:sz w:val="22"/>
        </w:rPr>
        <w:t>Working outline  |  Internal  |  Draft 14 October 2026</w:t>
      </w:r>
    </w:p>
    <w:p>
      <w:r>
        <w:t>Basis: Charm &lt;&gt; Isometric in-person sessions, 5 October 2026 (Isometric attendees Sophie Harris, Ed Long, Katie Earl), set against Charm’s current state in PDD v1.12 and the MRV knowledge base. Timing marked “Proposed” is a draft for discussion; timing with a source tag is as stated in that source.</w:t>
      </w:r>
    </w:p>
    <w:p>
      <w:pPr>
        <w:pStyle w:val="Heading1"/>
      </w:pPr>
      <w:r>
        <w:t>1. What Isometric is building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val="clear" w:color="auto" w:fill="D6E4F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760"/>
            <w:shd w:val="clear" w:color="auto" w:fill="D6E4F0"/>
          </w:tcPr>
          <w:p>
            <w:r/>
            <w:r>
              <w:rPr>
                <w:b/>
                <w:sz w:val="20"/>
              </w:rPr>
              <w:t>Isometric’s statement</w:t>
            </w:r>
          </w:p>
        </w:tc>
        <w:tc>
          <w:tcPr>
            <w:tcW w:type="dxa" w:w="2232"/>
            <w:shd w:val="clear" w:color="auto" w:fill="D6E4F0"/>
          </w:tcPr>
          <w:p>
            <w:r/>
            <w:r>
              <w:rPr>
                <w:b/>
                <w:sz w:val="20"/>
              </w:rPr>
              <w:t>Timing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20"/>
              </w:rPr>
              <w:t>Certify asset model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“The new asset-based data model is rolling out through roughly January 2027. It has three asset types (sites, activities, materials) and three purposes: validating assets, logging operational data, and driving quantification for crediting.” [S1]</w:t>
            </w:r>
          </w:p>
        </w:tc>
        <w:tc>
          <w:tcPr>
            <w:tcW w:type="dxa" w:w="2232"/>
          </w:tcPr>
          <w:p>
            <w:r/>
            <w:r>
              <w:rPr>
                <w:sz w:val="20"/>
              </w:rPr>
              <w:t>Through ~Jan 2027 [S1]; asset validation is the first priority of the rollout [S2]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20"/>
              </w:rPr>
              <w:t>Allocation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“Asset-based accounting means emissions for a pyrolysis process can be defined once and allocated to each storage event. Components are reviewed once and then amortised across multiple GHG entries.” [S1]</w:t>
            </w:r>
          </w:p>
        </w:tc>
        <w:tc>
          <w:tcPr>
            <w:tcW w:type="dxa" w:w="2232"/>
          </w:tcPr>
          <w:p>
            <w:r/>
            <w:r>
              <w:rPr>
                <w:sz w:val="20"/>
              </w:rPr>
              <w:t>With asset model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20"/>
              </w:rPr>
              <w:t>GHG entries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“Going forward, GHG components can be linked to specific assets (injection events, pyrolysis activities, storage events), which reduces duplicated data and QA burden.” [S1]</w:t>
            </w:r>
          </w:p>
        </w:tc>
        <w:tc>
          <w:tcPr>
            <w:tcW w:type="dxa" w:w="2232"/>
          </w:tcPr>
          <w:p>
            <w:r/>
            <w:r>
              <w:rPr>
                <w:sz w:val="20"/>
              </w:rPr>
              <w:t>Not stated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20"/>
              </w:rPr>
              <w:t>Change validation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“submit the pyrolyzer information on the new asset in Certify, the same way new feedstocks are added … so future changes (E-Series and onwards!) only need the relevant component reviewed.” [S4]</w:t>
            </w:r>
          </w:p>
        </w:tc>
        <w:tc>
          <w:tcPr>
            <w:tcW w:type="dxa" w:w="2232"/>
          </w:tcPr>
          <w:p>
            <w:r/>
            <w:r>
              <w:rPr>
                <w:sz w:val="20"/>
              </w:rPr>
              <w:t>In use now for D-Series [S4]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20"/>
              </w:rPr>
              <w:t>Project document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“in the longer term, exportable Certify components could serve as the up-to-date project document.” [S3]</w:t>
            </w:r>
          </w:p>
        </w:tc>
        <w:tc>
          <w:tcPr>
            <w:tcW w:type="dxa" w:w="2232"/>
          </w:tcPr>
          <w:p>
            <w:r/>
            <w:r>
              <w:rPr>
                <w:sz w:val="20"/>
              </w:rPr>
              <w:t>Not stated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20"/>
              </w:rPr>
              <w:t>Multi-pathway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“the Certify sites and assets framework should support segregation by lot. There is some nuance to work through, since biochar and bio-oil are separate at the protocol level.” [S3]</w:t>
            </w:r>
          </w:p>
        </w:tc>
        <w:tc>
          <w:tcPr>
            <w:tcW w:type="dxa" w:w="2232"/>
          </w:tcPr>
          <w:p>
            <w:r/>
            <w:r>
              <w:rPr>
                <w:sz w:val="20"/>
              </w:rPr>
              <w:t>Not stated</w:t>
            </w:r>
          </w:p>
        </w:tc>
      </w:tr>
    </w:tbl>
    <w:p>
      <w:pPr>
        <w:spacing w:after="40"/>
      </w:pPr>
    </w:p>
    <w:p>
      <w:pPr>
        <w:pStyle w:val="Heading1"/>
      </w:pPr>
      <w:r>
        <w:t>2. Scale driving the roadmap</w:t>
      </w:r>
    </w:p>
    <w:p>
      <w:pPr>
        <w:spacing w:after="60"/>
        <w:ind w:left="432"/>
      </w:pPr>
      <w:r>
        <w:rPr>
          <w:i/>
          <w:sz w:val="20"/>
        </w:rPr>
        <w:t>“2 D-Series pyrolysers will be completed this year, ~10 E-Series are targeted for next year, F-Series is planned for 2028–2030.”</w:t>
      </w:r>
      <w:r>
        <w:rPr>
          <w:color w:val="555555"/>
          <w:sz w:val="18"/>
        </w:rPr>
        <w:t xml:space="preserve">  [S1]</w:t>
      </w:r>
    </w:p>
    <w:p>
      <w:pPr>
        <w:spacing w:after="60"/>
        <w:ind w:left="432"/>
      </w:pPr>
      <w:r>
        <w:rPr>
          <w:i/>
          <w:sz w:val="20"/>
        </w:rPr>
        <w:t>“Still open: whether D-Series units are decommissioned or redeployed as a mobile fleet.”</w:t>
      </w:r>
      <w:r>
        <w:rPr>
          <w:color w:val="555555"/>
          <w:sz w:val="18"/>
        </w:rPr>
        <w:t xml:space="preserve">  [S1]</w:t>
      </w:r>
    </w:p>
    <w:p>
      <w:pPr>
        <w:spacing w:after="60"/>
        <w:ind w:left="432"/>
      </w:pPr>
      <w:r>
        <w:rPr>
          <w:i/>
          <w:sz w:val="20"/>
        </w:rPr>
        <w:t>“i think there's a world where we'd max out at 3-4 e-series and 2 d-series pyros at the facility.”</w:t>
      </w:r>
      <w:r>
        <w:rPr>
          <w:color w:val="555555"/>
          <w:sz w:val="18"/>
        </w:rPr>
        <w:t xml:space="preserve">  [S14, Liam Gaughan on Fort Lupton, 14 Oct]</w:t>
      </w:r>
    </w:p>
    <w:p>
      <w:pPr>
        <w:spacing w:after="60"/>
        <w:ind w:left="432"/>
      </w:pPr>
      <w:r>
        <w:rPr>
          <w:i/>
          <w:sz w:val="20"/>
        </w:rPr>
        <w:t>“Option 1 would be reflective of the non-attainment zone limits, so we'd show production at ~100 TPD (2 D-series, 4 E-series).”</w:t>
      </w:r>
      <w:r>
        <w:rPr>
          <w:color w:val="555555"/>
          <w:sz w:val="18"/>
        </w:rPr>
        <w:t xml:space="preserve">  [S14]</w:t>
      </w:r>
    </w:p>
    <w:p>
      <w:pPr>
        <w:spacing w:after="60"/>
        <w:ind w:left="432"/>
      </w:pPr>
      <w:r>
        <w:rPr>
          <w:i/>
          <w:sz w:val="20"/>
        </w:rPr>
        <w:t>“We will impedance match the deployment for the rental with the timeline for the E-01 first article as things get more certain towards the end of 2026”</w:t>
      </w:r>
      <w:r>
        <w:rPr>
          <w:color w:val="555555"/>
          <w:sz w:val="18"/>
        </w:rPr>
        <w:t xml:space="preserve">  [S13]</w:t>
      </w:r>
    </w:p>
    <w:p>
      <w:pPr>
        <w:spacing w:after="60"/>
        <w:ind w:left="432"/>
      </w:pPr>
      <w:r>
        <w:rPr>
          <w:i/>
          <w:sz w:val="20"/>
        </w:rPr>
        <w:t>“New counterfactual accounting rules will require better feedstock tracking over time. This matters more as sourcing grows to a mix of first- and third-party suppliers, with batching moving to truckload level (super sacks and totes phased out) under first-in, first-out inventory accounting.”</w:t>
      </w:r>
      <w:r>
        <w:rPr>
          <w:color w:val="555555"/>
          <w:sz w:val="18"/>
        </w:rPr>
        <w:t xml:space="preserve">  [S1]</w:t>
      </w:r>
    </w:p>
    <w:p>
      <w:pPr>
        <w:pStyle w:val="Heading1"/>
        <w:pageBreakBefore/>
      </w:pPr>
      <w:r>
        <w:t>3. Where Charm is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00"/>
            <w:shd w:val="clear" w:color="auto" w:fill="D6E4F0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6624"/>
            <w:shd w:val="clear" w:color="auto" w:fill="D6E4F0"/>
          </w:tcPr>
          <w:p>
            <w:r/>
            <w:r>
              <w:rPr>
                <w:b/>
                <w:sz w:val="20"/>
              </w:rPr>
              <w:t>Current state</w:t>
            </w:r>
          </w:p>
        </w:tc>
        <w:tc>
          <w:tcPr>
            <w:tcW w:type="dxa" w:w="1224"/>
            <w:shd w:val="clear" w:color="auto" w:fill="D6E4F0"/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20"/>
              </w:rPr>
              <w:t>Production assets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“Fort Lupton is the only Charm-owned production facility; it produces WODO, Aqueous fraction, AND Charm biochar from the same pyrolysis operation.” AECN is a “third-party vendor that sells bio-oil to Charm for injection”; Kerry is “Third-party calciner oil”.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S11 §3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20"/>
              </w:rPr>
              <w:t>Storage assets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Basco 6: “Operational Period: August 2025 – Present”. Vaulted: “No longer an operational partner”; post-injection monitoring only.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S11 §2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20"/>
              </w:rPr>
              <w:t>Project document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PDD v1.12 still lists “Location of Bio Oil Pre-Processing: 838 SW Purity Springs Rd El Dorado, KS” and Vaulted as an injection site; the knowledge base records that “the El Dorado KS pre-processing site no longer exists”. Section F (Project Changes) is blank. Tiered restructure under way.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S12; S11 §3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20"/>
              </w:rPr>
              <w:t>Data entry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“Mass value is entered into the Ledger using the User Interface (UI) and the document is uploaded with the entry”.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S12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20"/>
              </w:rPr>
              <w:t>Charm oil emissions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“Process and Embodied Emissions are determined on a periodic basis, referred to as a Production Period”; CI calculation is “Spreadsheet-based (dMRV integration pending as of March 2026)”. PDD: “Many manual recording processes will be progressively automated”.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S12; S11 §3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20"/>
              </w:rPr>
              <w:t>Certify removal record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Feb–Mar 2026 structure: “14 datapoints (consolidated)”; “Mangrove/dMRV integration underway; Charm oil CI still calculated via spreadsheet”.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S11 §5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20"/>
              </w:rPr>
              <w:t>Reporting cadence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“one GHG entry per week, per source, per site, running Friday to Friday”.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S1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20"/>
              </w:rPr>
              <w:t>Verification turnaround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SLA: “Thereafter: 2 working weeks (target going forward)”. In practice: “5 day turnaround, clean verification (no add ons)”.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S11 §7; S10</w:t>
            </w:r>
          </w:p>
        </w:tc>
      </w:tr>
    </w:tbl>
    <w:p>
      <w:pPr>
        <w:spacing w:after="40"/>
      </w:pPr>
    </w:p>
    <w:p>
      <w:pPr>
        <w:pStyle w:val="Heading1"/>
      </w:pPr>
      <w:r>
        <w:t>4. 2027 objectives (proposed)</w:t>
      </w:r>
    </w:p>
    <w:p>
      <w:pPr>
        <w:pStyle w:val="ListBullet"/>
        <w:spacing w:after="40"/>
      </w:pPr>
      <w:r>
        <w:rPr>
          <w:b/>
        </w:rPr>
        <w:t xml:space="preserve">O1  </w:t>
      </w:r>
      <w:r>
        <w:t>Every operating Charm asset validated on Certify’s asset model, so a new pyrolyzer, site or feedstock is a component review rather than a PDD rewrite.</w:t>
      </w:r>
    </w:p>
    <w:p>
      <w:pPr>
        <w:pStyle w:val="ListBullet"/>
        <w:spacing w:after="40"/>
      </w:pPr>
      <w:r>
        <w:rPr>
          <w:b/>
        </w:rPr>
        <w:t xml:space="preserve">O2  </w:t>
      </w:r>
      <w:r>
        <w:t>Operational data moves from Charm systems through Mangrove into Certify without hand entry or spreadsheet CI, with GHG components linked to assets.</w:t>
      </w:r>
    </w:p>
    <w:p>
      <w:pPr>
        <w:pStyle w:val="ListBullet"/>
        <w:spacing w:after="40"/>
      </w:pPr>
      <w:r>
        <w:rPr>
          <w:b/>
        </w:rPr>
        <w:t xml:space="preserve">O3  </w:t>
      </w:r>
      <w:r>
        <w:t>Adding E-Series units does not lengthen the verification cycle.</w:t>
      </w:r>
    </w:p>
    <w:p>
      <w:pPr>
        <w:pStyle w:val="ListBullet"/>
        <w:spacing w:after="40"/>
      </w:pPr>
      <w:r>
        <w:rPr>
          <w:b/>
        </w:rPr>
        <w:t xml:space="preserve">O4  </w:t>
      </w:r>
      <w:r>
        <w:t>Project documentation lives in Certify components that match current operations and that buyers can use for diligence.</w:t>
      </w:r>
    </w:p>
    <w:p>
      <w:pPr>
        <w:pStyle w:val="ListBullet"/>
        <w:spacing w:after="40"/>
      </w:pPr>
      <w:r>
        <w:rPr>
          <w:b/>
        </w:rPr>
        <w:t xml:space="preserve">O5  </w:t>
      </w:r>
      <w:r>
        <w:t>Feedstock tracked at truckload level under first-in, first-out accounting, meeting the new counterfactual rules.</w:t>
      </w:r>
    </w:p>
    <w:p>
      <w:pPr>
        <w:pStyle w:val="Heading1"/>
        <w:pageBreakBefore/>
      </w:pPr>
      <w:r>
        <w:t>5. Workstreams: today → 2027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32"/>
            <w:shd w:val="clear" w:color="auto" w:fill="D6E4F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872"/>
            <w:shd w:val="clear" w:color="auto" w:fill="D6E4F0"/>
          </w:tcPr>
          <w:p>
            <w:r/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376"/>
            <w:shd w:val="clear" w:color="auto" w:fill="D6E4F0"/>
          </w:tcPr>
          <w:p>
            <w:r/>
            <w:r>
              <w:rPr>
                <w:b/>
                <w:sz w:val="20"/>
              </w:rPr>
              <w:t>Today</w:t>
            </w:r>
          </w:p>
        </w:tc>
        <w:tc>
          <w:tcPr>
            <w:tcW w:type="dxa" w:w="2808"/>
            <w:shd w:val="clear" w:color="auto" w:fill="D6E4F0"/>
          </w:tcPr>
          <w:p>
            <w:r/>
            <w:r>
              <w:rPr>
                <w:b/>
                <w:sz w:val="20"/>
              </w:rPr>
              <w:t>2027 change</w:t>
            </w:r>
          </w:p>
        </w:tc>
        <w:tc>
          <w:tcPr>
            <w:tcW w:type="dxa" w:w="2160"/>
            <w:shd w:val="clear" w:color="auto" w:fill="D6E4F0"/>
          </w:tcPr>
          <w:p>
            <w:r/>
            <w:r>
              <w:rPr>
                <w:b/>
                <w:sz w:val="20"/>
              </w:rPr>
              <w:t>Proposed timing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Certify asset model migration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Removal-level records; D-Series is the first asset submission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Fort Lupton, Basco 6, AECN, Kerry and feedstock sources validated as assets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Q1 validate assets; Q2 log operational data; Q3 quantify credits on assets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Data flow: operations → Mangrove → Certify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Ledger entry by hand; Charm CI in spreadsheet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Mangrove events mapped to assets; evidence attached automatically; CI computed in system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Mapping agreed Q4 2026–Q1; all oil sources flowing by Q2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GHG entry structure and QA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Weekly entry per source per site; QA per entry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Components linked to assets and checked once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Q2–Q3, after 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Scale-up: E-Series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D-Series validated as a one-off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Repeatable pyrolyzer asset submission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Template ready Q1, ahead of E-01 (timing firms up end of 2026 [S13])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Feedstock traceability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Validated sources; no batch-to-pyrolysis tracing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Truckload batches, first-in, first-out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With super sack and tote phase-out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Project documentation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PDD v1.12 out of date; Section F blank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Tiered PDD hosted; changes in GHG statement reports; then Certify components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Q1 hosting agreed; Q2–Q4 move to components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G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Multi-pathway products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Bio-oil and biochar under separate protocols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Lot segregation; shortened validation for new pathways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Tied to commercial timing (not yet set)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Verification cadence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5-day turnaround in practice; 2-week SLA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Shorter cycle toward 24 hours; two-step validation as standard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Interim targets set with Isometric and 350 in Q1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Registry delivery</w:t>
            </w:r>
          </w:p>
        </w:tc>
        <w:tc>
          <w:tcPr>
            <w:tcW w:type="dxa" w:w="2376"/>
          </w:tcPr>
          <w:p>
            <w:r/>
            <w:r>
              <w:rPr>
                <w:sz w:val="20"/>
              </w:rPr>
              <w:t>“Deliver” does not deliver; end customer hidden</w:t>
            </w:r>
          </w:p>
        </w:tc>
        <w:tc>
          <w:tcPr>
            <w:tcW w:type="dxa" w:w="2808"/>
          </w:tcPr>
          <w:p>
            <w:r/>
            <w:r>
              <w:rPr>
                <w:sz w:val="20"/>
              </w:rPr>
              <w:t>Delivery from within the order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Raise Q4 2026; fix on Isometric’s side</w:t>
            </w:r>
          </w:p>
        </w:tc>
      </w:tr>
    </w:tbl>
    <w:p>
      <w:pPr>
        <w:spacing w:after="40"/>
      </w:pPr>
    </w:p>
    <w:p>
      <w:pPr>
        <w:pStyle w:val="Heading1"/>
      </w:pPr>
      <w:r>
        <w:t>6. Workstream detail</w:t>
      </w:r>
    </w:p>
    <w:p>
      <w:pPr>
        <w:pStyle w:val="Heading2"/>
      </w:pPr>
      <w:r>
        <w:t>A. Certify asset model migration</w:t>
      </w:r>
    </w:p>
    <w:p>
      <w:r>
        <w:rPr>
          <w:b/>
        </w:rPr>
        <w:t xml:space="preserve">Today: </w:t>
      </w:r>
      <w:r>
        <w:t>Certify records Charm activity removal by removal (“14 datapoints (consolidated)” [S11 §5]); the D-Series pyrolyzers are the first submission on a new asset [S4].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“The new asset-based data model is rolling out through roughly January 2027.”</w:t>
      </w:r>
      <w:r>
        <w:rPr>
          <w:color w:val="555555"/>
          <w:sz w:val="18"/>
        </w:rPr>
        <w:t xml:space="preserve">  [S1]</w:t>
      </w:r>
    </w:p>
    <w:p>
      <w:pPr>
        <w:spacing w:after="60"/>
        <w:ind w:left="432"/>
      </w:pPr>
      <w:r>
        <w:rPr>
          <w:i/>
          <w:sz w:val="20"/>
        </w:rPr>
        <w:t>“Sites feature: 4 months in, still not useful; need to push on this in person”</w:t>
      </w:r>
      <w:r>
        <w:rPr>
          <w:color w:val="555555"/>
          <w:sz w:val="18"/>
        </w:rPr>
        <w:t xml:space="preserve">  [S5]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Inventory assets by type (sites, activities, materials): Fort Lupton (WODO, Aqueous, biochar), Basco 6, AECN and Kerry as third-party production, feedstock sources; Vaulted as non-operating storage [S11 §2–3].</w:t>
      </w:r>
    </w:p>
    <w:p>
      <w:pPr>
        <w:pStyle w:val="ListBullet"/>
        <w:spacing w:after="40"/>
      </w:pPr>
      <w:r>
        <w:t>Use the D-Series and Basco 6 submissions as the pattern: Isometric “has mapped which requirements sit at project design, facility and storage location level.” [S6]</w:t>
      </w:r>
    </w:p>
    <w:p>
      <w:pPr>
        <w:pStyle w:val="ListBullet"/>
        <w:spacing w:after="40"/>
      </w:pPr>
      <w:r>
        <w:t>Give Isometric written feedback on the Sites feature; Sophie: “it's our first time using this asset so open to feedback here!” [S7]</w:t>
      </w:r>
    </w:p>
    <w:p>
      <w:r>
        <w:rPr>
          <w:b/>
        </w:rPr>
        <w:t>Open questions</w:t>
      </w:r>
      <w:r/>
    </w:p>
    <w:p>
      <w:pPr>
        <w:pStyle w:val="ListBullet"/>
        <w:spacing w:after="40"/>
      </w:pPr>
      <w:r>
        <w:t>Do already-validated sites re-submit on the new model, or migrate as-is?</w:t>
      </w:r>
    </w:p>
    <w:p>
      <w:pPr>
        <w:pStyle w:val="ListBullet"/>
        <w:spacing w:after="40"/>
      </w:pPr>
      <w:r>
        <w:t>Sequence of the three purposes after asset validation: when does crediting run on assets?</w:t>
      </w:r>
    </w:p>
    <w:p>
      <w:pPr>
        <w:pStyle w:val="ListBullet"/>
        <w:spacing w:after="40"/>
      </w:pPr>
      <w:r>
        <w:t>How do third-party producers (AECN, Kerry) sit in the asset model: as sites or as materials?</w:t>
      </w:r>
    </w:p>
    <w:p>
      <w:pPr>
        <w:pStyle w:val="Heading2"/>
      </w:pPr>
      <w:r>
        <w:t>B. Data flow: operations → Mangrove → Certify</w:t>
      </w:r>
    </w:p>
    <w:p>
      <w:r>
        <w:rPr>
          <w:b/>
        </w:rPr>
        <w:t xml:space="preserve">Today: </w:t>
      </w:r>
      <w:r>
        <w:t>Mass is “entered into the Ledger using the User Interface (UI)” [S12]; Charm oil CI is “Spreadsheet-based (dMRV integration pending as of March 2026)” [S11 §3].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“Mangrove is event-based, with each data point logged as an event and concatenated into activities, so the mapping between Mangrove concepts and the Certify asset model needs to be clearly defined.”</w:t>
      </w:r>
      <w:r>
        <w:rPr>
          <w:color w:val="555555"/>
          <w:sz w:val="18"/>
        </w:rPr>
        <w:t xml:space="preserve">  [S1]</w:t>
      </w:r>
    </w:p>
    <w:p>
      <w:pPr>
        <w:spacing w:after="60"/>
        <w:ind w:left="432"/>
      </w:pPr>
      <w:r>
        <w:rPr>
          <w:i/>
          <w:sz w:val="20"/>
        </w:rPr>
        <w:t>“Tech stack harmonization: gaining visibility into each other’s roadmaps, staying relevant to each other’s plans, mapping to a 24-hour verification cycle”</w:t>
      </w:r>
      <w:r>
        <w:rPr>
          <w:color w:val="555555"/>
          <w:sz w:val="18"/>
        </w:rPr>
        <w:t xml:space="preserve">  [S5]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Agree a written Mangrove-event-to-Certify-asset map with Isometric and Mangrove.</w:t>
      </w:r>
    </w:p>
    <w:p>
      <w:pPr>
        <w:pStyle w:val="ListBullet"/>
        <w:spacing w:after="40"/>
      </w:pPr>
      <w:r>
        <w:t>Evidence attachment: Mangrove scope is “Dreamline Oil first, then ACN; goal is to reduce attachment volume (e.g. 35 totes currently generates 35 attachments)”, estimated “2–4 weeks out” from 13 October. [S8]</w:t>
      </w:r>
    </w:p>
    <w:p>
      <w:pPr>
        <w:pStyle w:val="ListBullet"/>
        <w:spacing w:after="40"/>
      </w:pPr>
      <w:r>
        <w:t>NetSuite evidence flow: “evidence file uploaded, Mangrove OCR populates event fields.” [S8]</w:t>
      </w:r>
    </w:p>
    <w:p>
      <w:pPr>
        <w:pStyle w:val="ListBullet"/>
        <w:spacing w:after="40"/>
      </w:pPr>
      <w:r>
        <w:t>CharmOS feeds: modules live are “Scale Tickets/Inventory/Injection/Sparking”, next “Launch AECN on CharmOS”. [S9]</w:t>
      </w:r>
    </w:p>
    <w:p>
      <w:pPr>
        <w:pStyle w:val="ListBullet"/>
        <w:spacing w:after="40"/>
      </w:pPr>
      <w:r>
        <w:t>Move Production Period CI from spreadsheet into the Mangrove flow.</w:t>
      </w:r>
    </w:p>
    <w:p>
      <w:r>
        <w:rPr>
          <w:b/>
        </w:rPr>
        <w:t>Open questions</w:t>
      </w:r>
      <w:r/>
    </w:p>
    <w:p>
      <w:pPr>
        <w:pStyle w:val="ListBullet"/>
        <w:spacing w:after="40"/>
      </w:pPr>
      <w:r>
        <w:t>Who owns the event-to-asset map: Isometric, Mangrove or Charm?</w:t>
      </w:r>
    </w:p>
    <w:p>
      <w:pPr>
        <w:pStyle w:val="Heading2"/>
      </w:pPr>
      <w:r>
        <w:t>C. GHG entry structure and QA</w:t>
      </w:r>
    </w:p>
    <w:p>
      <w:r>
        <w:rPr>
          <w:b/>
        </w:rPr>
        <w:t xml:space="preserve">Today: </w:t>
      </w:r>
      <w:r>
        <w:t>One GHG entry per week, per source, per site; batch QA runs per entry.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“The current structure is one GHG entry per week, per source, per site, running Friday to Friday. The weekly cadence makes operational QA issues easier to catch and resolve.”</w:t>
      </w:r>
      <w:r>
        <w:rPr>
          <w:color w:val="555555"/>
          <w:sz w:val="18"/>
        </w:rPr>
        <w:t xml:space="preserve">  [S1]</w:t>
      </w:r>
    </w:p>
    <w:p>
      <w:pPr>
        <w:spacing w:after="60"/>
        <w:ind w:left="432"/>
      </w:pPr>
      <w:r>
        <w:rPr>
          <w:i/>
          <w:sz w:val="20"/>
        </w:rPr>
        <w:t>“Lot emissions (carbon intensity, transport, carbon content, mass) are treated separately from site emissions (electricity, liquid fuel, injection site work), which are deducted as a single value.”</w:t>
      </w:r>
      <w:r>
        <w:rPr>
          <w:color w:val="555555"/>
          <w:sz w:val="18"/>
        </w:rPr>
        <w:t xml:space="preserve">  [S1]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Link lot and site components to assets (injection events, pyrolysis activities, storage events) once workstream A validates them.</w:t>
      </w:r>
    </w:p>
    <w:p>
      <w:pPr>
        <w:pStyle w:val="ListBullet"/>
        <w:spacing w:after="40"/>
      </w:pPr>
      <w:r>
        <w:t>Rebuild QA checklists around asset-linked components so each component is checked once, not per weekly entry.</w:t>
      </w:r>
    </w:p>
    <w:p>
      <w:r>
        <w:rPr>
          <w:b/>
        </w:rPr>
        <w:t>Open questions</w:t>
      </w:r>
      <w:r/>
    </w:p>
    <w:p>
      <w:pPr>
        <w:pStyle w:val="ListBullet"/>
        <w:spacing w:after="40"/>
      </w:pPr>
      <w:r>
        <w:t>Does the weekly per-source, per-site entry survive the asset model, or do entries re-base on storage events?</w:t>
      </w:r>
    </w:p>
    <w:p>
      <w:pPr>
        <w:pStyle w:val="Heading2"/>
      </w:pPr>
      <w:r>
        <w:t>D. Scale-up: E-Series</w:t>
      </w:r>
    </w:p>
    <w:p>
      <w:r>
        <w:rPr>
          <w:b/>
        </w:rPr>
        <w:t xml:space="preserve">Today: </w:t>
      </w:r>
      <w:r>
        <w:t>Two D-Series pyrolyzers going through validation as a one-off change; Fort Lupton capacity under review against air-permit limits.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“~10 E-Series are targeted for next year”</w:t>
      </w:r>
      <w:r>
        <w:rPr>
          <w:color w:val="555555"/>
          <w:sz w:val="18"/>
        </w:rPr>
        <w:t xml:space="preserve">  [S1]</w:t>
      </w:r>
    </w:p>
    <w:p>
      <w:pPr>
        <w:spacing w:after="60"/>
        <w:ind w:left="432"/>
      </w:pPr>
      <w:r>
        <w:rPr>
          <w:i/>
          <w:sz w:val="20"/>
        </w:rPr>
        <w:t>“i think there's a world where we'd max out at 3-4 e-series and 2 d-series pyros at the facility.”</w:t>
      </w:r>
      <w:r>
        <w:rPr>
          <w:color w:val="555555"/>
          <w:sz w:val="18"/>
        </w:rPr>
        <w:t xml:space="preserve">  [S14]</w:t>
      </w:r>
    </w:p>
    <w:p>
      <w:pPr>
        <w:spacing w:after="60"/>
        <w:ind w:left="432"/>
      </w:pPr>
      <w:r>
        <w:rPr>
          <w:i/>
          <w:sz w:val="20"/>
        </w:rPr>
        <w:t>“Reporting efficiencies so adding sites doesn’t extend verification cycles”</w:t>
      </w:r>
      <w:r>
        <w:rPr>
          <w:color w:val="555555"/>
          <w:sz w:val="18"/>
        </w:rPr>
        <w:t xml:space="preserve">  [S5]</w:t>
      </w:r>
    </w:p>
    <w:p>
      <w:pPr>
        <w:spacing w:after="60"/>
        <w:ind w:left="432"/>
      </w:pPr>
      <w:r>
        <w:rPr>
          <w:i/>
          <w:sz w:val="20"/>
        </w:rPr>
        <w:t>“Streamlined new asset validation for wells and production sites”</w:t>
      </w:r>
      <w:r>
        <w:rPr>
          <w:color w:val="555555"/>
          <w:sz w:val="18"/>
        </w:rPr>
        <w:t xml:space="preserve">  [S5]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Turn the D-Series Certify submission into a reusable pyrolyzer asset template, ready before E-01.</w:t>
      </w:r>
    </w:p>
    <w:p>
      <w:pPr>
        <w:pStyle w:val="ListBullet"/>
        <w:spacing w:after="40"/>
      </w:pPr>
      <w:r>
        <w:t>Plan validation for each E-Series unit against the E-01 schedule (“things get more certain towards the end of 2026” [S13]).</w:t>
      </w:r>
    </w:p>
    <w:p>
      <w:pPr>
        <w:pStyle w:val="ListBullet"/>
        <w:spacing w:after="40"/>
      </w:pPr>
      <w:r>
        <w:t>Record the D-Series outcome (decommission or mobile fleet) as asset status once decided.</w:t>
      </w:r>
    </w:p>
    <w:p>
      <w:r>
        <w:rPr>
          <w:b/>
        </w:rPr>
        <w:t>Open questions</w:t>
      </w:r>
      <w:r/>
    </w:p>
    <w:p>
      <w:pPr>
        <w:pStyle w:val="ListBullet"/>
        <w:spacing w:after="40"/>
      </w:pPr>
      <w:r>
        <w:t>How many E-Series units does the 2027 plan assume: “~10” [S1] or the Fort Lupton cap of “3-4” under discussion [S14]? The answer sets validation volume and the capacity figure in the PDD.</w:t>
      </w:r>
    </w:p>
    <w:p>
      <w:pPr>
        <w:pStyle w:val="ListBullet"/>
        <w:spacing w:after="40"/>
      </w:pPr>
      <w:r>
        <w:t>Is E-01 at Fort Lupton or a separate Colorado site (Slack channel #pyrolysis-e01-elbert; “CO E-Series Pyro Pad” [S13])? A separate site needs its own site asset.</w:t>
      </w:r>
    </w:p>
    <w:p>
      <w:pPr>
        <w:pStyle w:val="ListBullet"/>
        <w:spacing w:after="40"/>
      </w:pPr>
      <w:r>
        <w:t>Can E-Series units of one design be validated as a class rather than unit by unit?</w:t>
      </w:r>
    </w:p>
    <w:p>
      <w:pPr>
        <w:pStyle w:val="ListBullet"/>
        <w:spacing w:after="40"/>
      </w:pPr>
      <w:r>
        <w:t>Does a mobile D-Series fleet need a site record per location?</w:t>
      </w:r>
    </w:p>
    <w:p>
      <w:pPr>
        <w:pStyle w:val="Heading2"/>
      </w:pPr>
      <w:r>
        <w:t>E. Feedstock traceability</w:t>
      </w:r>
    </w:p>
    <w:p>
      <w:r>
        <w:rPr>
          <w:b/>
        </w:rPr>
        <w:t xml:space="preserve">Today: </w:t>
      </w:r>
      <w:r>
        <w:t>Feedstock sources validated up front; batches cannot be traced past the drying facility.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“Individual feedstock batches won’t be able to be traced to a specific pyrolysis event or production batch, because granular tracking is lost once material enters the drying facility.”</w:t>
      </w:r>
      <w:r>
        <w:rPr>
          <w:color w:val="555555"/>
          <w:sz w:val="18"/>
        </w:rPr>
        <w:t xml:space="preserve">  [S1]</w:t>
      </w:r>
    </w:p>
    <w:p>
      <w:pPr>
        <w:spacing w:after="60"/>
        <w:ind w:left="432"/>
      </w:pPr>
      <w:r>
        <w:rPr>
          <w:i/>
          <w:sz w:val="20"/>
        </w:rPr>
        <w:t>“The approach is to validate feedstock sources upfront and only draw from validated sources.”</w:t>
      </w:r>
      <w:r>
        <w:rPr>
          <w:color w:val="555555"/>
          <w:sz w:val="18"/>
        </w:rPr>
        <w:t xml:space="preserve">  [S1]</w:t>
      </w:r>
    </w:p>
    <w:p>
      <w:pPr>
        <w:spacing w:after="60"/>
        <w:ind w:left="432"/>
      </w:pPr>
      <w:r>
        <w:rPr>
          <w:i/>
          <w:sz w:val="20"/>
        </w:rPr>
        <w:t>“for dreamline I think its all going to be through the storage tank--&gt;tankers. So no more totes but still supersacks”</w:t>
      </w:r>
      <w:r>
        <w:rPr>
          <w:color w:val="555555"/>
          <w:sz w:val="18"/>
        </w:rPr>
        <w:t xml:space="preserve">  [S15]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Keep feedstock sources as validated material assets; draw only from validated sources.</w:t>
      </w:r>
    </w:p>
    <w:p>
      <w:pPr>
        <w:pStyle w:val="ListBullet"/>
        <w:spacing w:after="40"/>
      </w:pPr>
      <w:r>
        <w:t>Move batching to truckload level under first-in, first-out accounting as super sacks and totes phase out.</w:t>
      </w:r>
    </w:p>
    <w:p>
      <w:r>
        <w:rPr>
          <w:b/>
        </w:rPr>
        <w:t>Open questions</w:t>
      </w:r>
      <w:r/>
    </w:p>
    <w:p>
      <w:pPr>
        <w:pStyle w:val="ListBullet"/>
        <w:spacing w:after="40"/>
      </w:pPr>
      <w:r>
        <w:t>Which counterfactual rule changes apply in 2027, and from what date?</w:t>
      </w:r>
    </w:p>
    <w:p>
      <w:pPr>
        <w:pStyle w:val="Heading2"/>
      </w:pPr>
      <w:r>
        <w:t>F. Project documentation</w:t>
      </w:r>
    </w:p>
    <w:p>
      <w:r>
        <w:rPr>
          <w:b/>
        </w:rPr>
        <w:t xml:space="preserve">Today: </w:t>
      </w:r>
      <w:r>
        <w:t>PDD v1.12 still describes El Dorado pre-processing and Vaulted injection, and its Section F (Project Changes) is blank [S12]; the tiered restructure is under way.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“The PDD restructure into a modular format is around 90% complete. Going forward, updates can be captured in the GHG statement report rather than by treating the PDD as a living document.”</w:t>
      </w:r>
      <w:r>
        <w:rPr>
          <w:color w:val="555555"/>
          <w:sz w:val="18"/>
        </w:rPr>
        <w:t xml:space="preserve">  [S3]</w:t>
      </w:r>
    </w:p>
    <w:p>
      <w:pPr>
        <w:spacing w:after="60"/>
        <w:ind w:left="432"/>
      </w:pPr>
      <w:r>
        <w:rPr>
          <w:i/>
          <w:sz w:val="20"/>
        </w:rPr>
        <w:t>“We noted the buyer diligence concern. In the near term we'll agree where the restructured PDD should live for now”</w:t>
      </w:r>
      <w:r>
        <w:rPr>
          <w:color w:val="555555"/>
          <w:sz w:val="18"/>
        </w:rPr>
        <w:t xml:space="preserve">  [S3]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Finish the tiered PDD restructure, removing retired sites from operating sections, and agree its hosting with Isometric.</w:t>
      </w:r>
    </w:p>
    <w:p>
      <w:pPr>
        <w:pStyle w:val="ListBullet"/>
        <w:spacing w:after="40"/>
      </w:pPr>
      <w:r>
        <w:t>Carry project changes in each GHG statement report.</w:t>
      </w:r>
    </w:p>
    <w:p>
      <w:pPr>
        <w:pStyle w:val="ListBullet"/>
        <w:spacing w:after="40"/>
      </w:pPr>
      <w:r>
        <w:t>Map PDD tiers to Certify components so the exported components can replace the PDD.</w:t>
      </w:r>
    </w:p>
    <w:p>
      <w:r>
        <w:rPr>
          <w:b/>
        </w:rPr>
        <w:t>Open questions</w:t>
      </w:r>
      <w:r/>
    </w:p>
    <w:p>
      <w:pPr>
        <w:pStyle w:val="ListBullet"/>
        <w:spacing w:after="40"/>
      </w:pPr>
      <w:r>
        <w:t>When will Certify components be exportable as a project document?</w:t>
      </w:r>
    </w:p>
    <w:p>
      <w:pPr>
        <w:pStyle w:val="Heading2"/>
      </w:pPr>
      <w:r>
        <w:t>G. Multi-pathway products</w:t>
      </w:r>
    </w:p>
    <w:p>
      <w:r>
        <w:rPr>
          <w:b/>
        </w:rPr>
        <w:t xml:space="preserve">Today: </w:t>
      </w:r>
      <w:r>
        <w:t>Fort Lupton produces bio-oil and biochar from one operation [S11 §3], credited under separate protocols.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“On splitting products across pathways (e.g. biochar to cement/concrete vs geologic storage), the Certify sites and assets framework should support segregation by lot.”</w:t>
      </w:r>
      <w:r>
        <w:rPr>
          <w:color w:val="555555"/>
          <w:sz w:val="18"/>
        </w:rPr>
        <w:t xml:space="preserve">  [S3]</w:t>
      </w:r>
    </w:p>
    <w:p>
      <w:pPr>
        <w:spacing w:after="60"/>
        <w:ind w:left="432"/>
      </w:pPr>
      <w:r>
        <w:rPr>
          <w:i/>
          <w:sz w:val="20"/>
        </w:rPr>
        <w:t>“Truncated validation for already-validated projects opening new pathways (biochar into cement, oil to renewable fuels)”</w:t>
      </w:r>
      <w:r>
        <w:rPr>
          <w:color w:val="555555"/>
          <w:sz w:val="18"/>
        </w:rPr>
        <w:t xml:space="preserve">  [S5]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Define lot segregation rules for biochar and bio-oil leaving the same production asset.</w:t>
      </w:r>
    </w:p>
    <w:p>
      <w:pPr>
        <w:pStyle w:val="ListBullet"/>
        <w:spacing w:after="40"/>
      </w:pPr>
      <w:r>
        <w:t>Agree a shortened validation path for new pathways on the existing project.</w:t>
      </w:r>
    </w:p>
    <w:p>
      <w:r>
        <w:rPr>
          <w:b/>
        </w:rPr>
        <w:t>Open questions</w:t>
      </w:r>
      <w:r/>
    </w:p>
    <w:p>
      <w:pPr>
        <w:pStyle w:val="ListBullet"/>
        <w:spacing w:after="40"/>
      </w:pPr>
      <w:r>
        <w:t>How is the protocol-level split between biochar and bio-oil handled within one production site?</w:t>
      </w:r>
    </w:p>
    <w:p>
      <w:pPr>
        <w:pStyle w:val="Heading2"/>
      </w:pPr>
      <w:r>
        <w:t>H. Verification cadence</w:t>
      </w:r>
    </w:p>
    <w:p>
      <w:r>
        <w:rPr>
          <w:b/>
        </w:rPr>
        <w:t xml:space="preserve">Today: </w:t>
      </w:r>
      <w:r>
        <w:t>SLA of “2 working weeks” [S11 §7]; recent clean verifications run on a 5-day turnaround [S10].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“November verification (Oct RP) -  5 day turnaround, clean verification (no add ons)”</w:t>
      </w:r>
      <w:r>
        <w:rPr>
          <w:color w:val="555555"/>
          <w:sz w:val="18"/>
        </w:rPr>
        <w:t xml:space="preserve">  [S10]</w:t>
      </w:r>
    </w:p>
    <w:p>
      <w:pPr>
        <w:spacing w:after="60"/>
        <w:ind w:left="432"/>
      </w:pPr>
      <w:r>
        <w:rPr>
          <w:i/>
          <w:sz w:val="20"/>
        </w:rPr>
        <w:t>“Validation of the new method can be separated out in the usual 2-step process with 350 if timing is a concern.”</w:t>
      </w:r>
      <w:r>
        <w:rPr>
          <w:color w:val="555555"/>
          <w:sz w:val="18"/>
        </w:rPr>
        <w:t xml:space="preserve">  [S3]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Make two-step handling standard: verification issues credits; validation of changes closes in the next cycle.</w:t>
      </w:r>
    </w:p>
    <w:p>
      <w:pPr>
        <w:pStyle w:val="ListBullet"/>
        <w:spacing w:after="40"/>
      </w:pPr>
      <w:r>
        <w:t>Set interim turnaround targets for 2027 with Isometric and 350 against the 24-hour aspiration in B.</w:t>
      </w:r>
    </w:p>
    <w:p>
      <w:pPr>
        <w:pStyle w:val="Heading2"/>
      </w:pPr>
      <w:r>
        <w:t>I. Registry delivery</w:t>
      </w:r>
    </w:p>
    <w:p>
      <w:r>
        <w:rPr>
          <w:b/>
        </w:rPr>
        <w:t xml:space="preserve">Today: </w:t>
      </w:r>
      <w:r>
        <w:t>Order fulfillment issues raised by Charm and Watershed [S5].</w:t>
      </w:r>
    </w:p>
    <w:p>
      <w:r>
        <w:rPr>
          <w:b/>
        </w:rPr>
        <w:t>Basis</w:t>
      </w:r>
      <w:r/>
    </w:p>
    <w:p>
      <w:pPr>
        <w:spacing w:after="60"/>
        <w:ind w:left="432"/>
      </w:pPr>
      <w:r>
        <w:rPr>
          <w:i/>
          <w:sz w:val="20"/>
        </w:rPr>
        <w:t>“‘Deliver’ button inside an order doesn’t actually deliver; redirects to general delivery section”</w:t>
      </w:r>
      <w:r>
        <w:rPr>
          <w:color w:val="555555"/>
          <w:sz w:val="18"/>
        </w:rPr>
        <w:t xml:space="preserve">  [S5]</w:t>
      </w:r>
    </w:p>
    <w:p>
      <w:pPr>
        <w:spacing w:after="60"/>
        <w:ind w:left="432"/>
      </w:pPr>
      <w:r>
        <w:rPr>
          <w:i/>
          <w:sz w:val="20"/>
        </w:rPr>
        <w:t>“From general delivery, end customer isn’t visible on the order”</w:t>
      </w:r>
      <w:r>
        <w:rPr>
          <w:color w:val="555555"/>
          <w:sz w:val="18"/>
        </w:rPr>
        <w:t xml:space="preserve">  [S5]</w:t>
      </w:r>
    </w:p>
    <w:p>
      <w:r>
        <w:rPr>
          <w:b/>
        </w:rPr>
        <w:t>Charm work</w:t>
      </w:r>
      <w:r/>
    </w:p>
    <w:p>
      <w:pPr>
        <w:pStyle w:val="ListBullet"/>
        <w:spacing w:after="40"/>
      </w:pPr>
      <w:r>
        <w:t>Log the order fulfillment issues with Isometric product, with Watershed’s matching feedback.</w:t>
      </w:r>
    </w:p>
    <w:p>
      <w:r>
        <w:rPr>
          <w:b/>
        </w:rPr>
        <w:t>Open questions</w:t>
      </w:r>
      <w:r/>
    </w:p>
    <w:p>
      <w:pPr>
        <w:pStyle w:val="ListBullet"/>
        <w:spacing w:after="40"/>
      </w:pPr>
      <w:r>
        <w:t>Is the fix on Isometric’s product roadmap, and when?</w:t>
      </w:r>
    </w:p>
    <w:p>
      <w:pPr>
        <w:pStyle w:val="Heading1"/>
      </w:pPr>
      <w:r>
        <w:t>7. Carry-in from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D6E4F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624"/>
            <w:shd w:val="clear" w:color="auto" w:fill="D6E4F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440"/>
            <w:shd w:val="clear" w:color="auto" w:fill="D6E4F0"/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16 Oct 2026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D-Series information uploaded to Certify; “350 can issue RFI by 23rd”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S10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~end Oct 2026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Validation reports: new feedstock, D-series pyrolyzers, bio-oil homogenization, KS monitoring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S10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15 Nov 2026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November verification (October reporting period)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S10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14 Dec 2026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Final verification submission of the year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S10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By 31 Dec 2026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CCP label for Bio-oil Geological Storage v1.2: “approval expected within this calendar year”; unlabelled credits “will be backfilled once approval is granted”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S6</w:t>
            </w:r>
          </w:p>
        </w:tc>
      </w:tr>
    </w:tbl>
    <w:p>
      <w:pPr>
        <w:spacing w:after="40"/>
      </w:pPr>
    </w:p>
    <w:p>
      <w:pPr>
        <w:pStyle w:val="Heading1"/>
      </w:pPr>
      <w:r>
        <w:t>8. Sources</w:t>
      </w:r>
    </w:p>
    <w:p>
      <w:pPr>
        <w:spacing w:after="20"/>
      </w:pPr>
      <w:r>
        <w:rPr>
          <w:b/>
          <w:sz w:val="19"/>
        </w:rPr>
        <w:t xml:space="preserve">S1  </w:t>
      </w:r>
      <w:r>
        <w:rPr>
          <w:sz w:val="19"/>
        </w:rPr>
        <w:t>Sophie Harris, “Product session” recap, #isometric-charm Slack, 6 Oct 2026.</w:t>
      </w:r>
    </w:p>
    <w:p>
      <w:pPr>
        <w:spacing w:after="20"/>
      </w:pPr>
      <w:r>
        <w:rPr>
          <w:b/>
          <w:sz w:val="19"/>
        </w:rPr>
        <w:t xml:space="preserve">S2  </w:t>
      </w:r>
      <w:r>
        <w:rPr>
          <w:sz w:val="19"/>
        </w:rPr>
        <w:t>Max Lavine, “Notes - Charm &lt;&gt; Isometric Product” (Google Doc), 5 Oct 2026: “Validate assets”, sub-bullet “This is prio in the roll-out”.</w:t>
      </w:r>
    </w:p>
    <w:p>
      <w:pPr>
        <w:spacing w:after="20"/>
      </w:pPr>
      <w:r>
        <w:rPr>
          <w:b/>
          <w:sz w:val="19"/>
        </w:rPr>
        <w:t xml:space="preserve">S3  </w:t>
      </w:r>
      <w:r>
        <w:rPr>
          <w:sz w:val="19"/>
        </w:rPr>
        <w:t>Sophie Harris, “Science session” recap, #isometric-charm Slack, 6 Oct 2026.</w:t>
      </w:r>
    </w:p>
    <w:p>
      <w:pPr>
        <w:spacing w:after="20"/>
      </w:pPr>
      <w:r>
        <w:rPr>
          <w:b/>
          <w:sz w:val="19"/>
        </w:rPr>
        <w:t xml:space="preserve">S4  </w:t>
      </w:r>
      <w:r>
        <w:rPr>
          <w:sz w:val="19"/>
        </w:rPr>
        <w:t>Sophie Harris, D-Series validation plan, #isometric-charm Slack, 7 Oct 2026.</w:t>
      </w:r>
    </w:p>
    <w:p>
      <w:pPr>
        <w:spacing w:after="20"/>
      </w:pPr>
      <w:r>
        <w:rPr>
          <w:b/>
          <w:sz w:val="19"/>
        </w:rPr>
        <w:t xml:space="preserve">S5  </w:t>
      </w:r>
      <w:r>
        <w:rPr>
          <w:sz w:val="19"/>
        </w:rPr>
        <w:t>MRV Team Weekly, 28 Sep 2026 (Granola summary): agenda prepared for the Isometric visit.</w:t>
      </w:r>
    </w:p>
    <w:p>
      <w:pPr>
        <w:spacing w:after="20"/>
      </w:pPr>
      <w:r>
        <w:rPr>
          <w:b/>
          <w:sz w:val="19"/>
        </w:rPr>
        <w:t xml:space="preserve">S6  </w:t>
      </w:r>
      <w:r>
        <w:rPr>
          <w:sz w:val="19"/>
        </w:rPr>
        <w:t>Isometric / Charm Open Items Log, items 86–88.</w:t>
      </w:r>
    </w:p>
    <w:p>
      <w:pPr>
        <w:spacing w:after="20"/>
      </w:pPr>
      <w:r>
        <w:rPr>
          <w:b/>
          <w:sz w:val="19"/>
        </w:rPr>
        <w:t xml:space="preserve">S7  </w:t>
      </w:r>
      <w:r>
        <w:rPr>
          <w:sz w:val="19"/>
        </w:rPr>
        <w:t>Sophie Harris, reply in #isometric-charm Slack thread, 8 Oct 2026.</w:t>
      </w:r>
    </w:p>
    <w:p>
      <w:pPr>
        <w:spacing w:after="20"/>
      </w:pPr>
      <w:r>
        <w:rPr>
          <w:b/>
          <w:sz w:val="19"/>
        </w:rPr>
        <w:t xml:space="preserve">S8  </w:t>
      </w:r>
      <w:r>
        <w:rPr>
          <w:sz w:val="19"/>
        </w:rPr>
        <w:t>Mangrove/Charm sync, 13 Oct 2026 (Granola summary).</w:t>
      </w:r>
    </w:p>
    <w:p>
      <w:pPr>
        <w:spacing w:after="20"/>
      </w:pPr>
      <w:r>
        <w:rPr>
          <w:b/>
          <w:sz w:val="19"/>
        </w:rPr>
        <w:t xml:space="preserve">S9  </w:t>
      </w:r>
      <w:r>
        <w:rPr>
          <w:sz w:val="19"/>
        </w:rPr>
        <w:t>Shaune Golemon, weekly update, #team-strategery Slack, 13 Oct 2026.</w:t>
      </w:r>
    </w:p>
    <w:p>
      <w:pPr>
        <w:spacing w:after="20"/>
      </w:pPr>
      <w:r>
        <w:rPr>
          <w:b/>
          <w:sz w:val="19"/>
        </w:rPr>
        <w:t xml:space="preserve">S10  </w:t>
      </w:r>
      <w:r>
        <w:rPr>
          <w:sz w:val="19"/>
        </w:rPr>
        <w:t>Sophie Harris, timeline built with 350Solutions, #isometric-charm Slack, 14 Oct 2026.</w:t>
      </w:r>
    </w:p>
    <w:p>
      <w:pPr>
        <w:spacing w:after="20"/>
      </w:pPr>
      <w:r>
        <w:rPr>
          <w:b/>
          <w:sz w:val="19"/>
        </w:rPr>
        <w:t xml:space="preserve">S11  </w:t>
      </w:r>
      <w:r>
        <w:rPr>
          <w:sz w:val="19"/>
        </w:rPr>
        <w:t>Charm Isometric Knowledge Base (MRV workspace), sections 2, 3, 5 and 7.</w:t>
      </w:r>
    </w:p>
    <w:p>
      <w:pPr>
        <w:spacing w:after="20"/>
      </w:pPr>
      <w:r>
        <w:rPr>
          <w:b/>
          <w:sz w:val="19"/>
        </w:rPr>
        <w:t xml:space="preserve">S12  </w:t>
      </w:r>
      <w:r>
        <w:rPr>
          <w:sz w:val="19"/>
        </w:rPr>
        <w:t>Charm PDD v1.12, Bio-Oil Geologic Storage and Biochar: project locations, data collection and storage, Section F.</w:t>
      </w:r>
    </w:p>
    <w:p>
      <w:pPr>
        <w:spacing w:after="20"/>
      </w:pPr>
      <w:r>
        <w:rPr>
          <w:b/>
          <w:sz w:val="19"/>
        </w:rPr>
        <w:t xml:space="preserve">S13  </w:t>
      </w:r>
      <w:r>
        <w:rPr>
          <w:sz w:val="19"/>
        </w:rPr>
        <w:t>Dillon Card, #pyrolysis-e-series-site-dev Slack, 8 Oct 2026.</w:t>
      </w:r>
    </w:p>
    <w:p>
      <w:pPr>
        <w:spacing w:after="20"/>
      </w:pPr>
      <w:r>
        <w:rPr>
          <w:b/>
          <w:sz w:val="19"/>
        </w:rPr>
        <w:t xml:space="preserve">S14  </w:t>
      </w:r>
      <w:r>
        <w:rPr>
          <w:sz w:val="19"/>
        </w:rPr>
        <w:t>Liam Gaughan, Slack messages on Fort Lupton capacity, 14 Oct 2026.</w:t>
      </w:r>
    </w:p>
    <w:p>
      <w:pPr>
        <w:spacing w:after="20"/>
      </w:pPr>
      <w:r>
        <w:rPr>
          <w:b/>
          <w:sz w:val="19"/>
        </w:rPr>
        <w:t xml:space="preserve">S15  </w:t>
      </w:r>
      <w:r>
        <w:rPr>
          <w:sz w:val="19"/>
        </w:rPr>
        <w:t>Garrett Lutz, Slack message, 21 Sep 2026.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