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40"/>
        </w:rPr>
        <w:t>MRV Analyst — On-Site Interview Prep</w:t>
      </w:r>
    </w:p>
    <w:p>
      <w:r>
        <w:rPr>
          <w:color w:val="595959"/>
          <w:sz w:val="20"/>
        </w:rPr>
        <w:t>Technical presentation and panel questions  ·  Prepared 2026-10-14  ·  Internal</w:t>
      </w:r>
    </w:p>
    <w:p>
      <w:pPr>
        <w:pStyle w:val="Heading1"/>
      </w:pPr>
      <w:r>
        <w:t>1. Candidates</w:t>
      </w:r>
    </w:p>
    <w:tbl>
      <w:tblPr>
        <w:tblStyle w:val="TableGrid"/>
        <w:tblW w:type="auto" w:w="0"/>
        <w:tblLook w:firstColumn="1" w:firstRow="1" w:lastColumn="0" w:lastRow="0" w:noHBand="0" w:noVBand="1" w:val="04A0"/>
      </w:tblPr>
      <w:tblGrid>
        <w:gridCol w:w="4824"/>
        <w:gridCol w:w="4824"/>
      </w:tblGrid>
      <w:tr>
        <w:trPr>
          <w:cantSplit/>
        </w:trPr>
        <w:tc>
          <w:tcPr>
            <w:tcW w:type="dxa" w:w="3168"/>
            <w:shd w:val="clear" w:color="auto" w:fill="D6E4F0"/>
          </w:tcPr>
          <w:p>
            <w:r/>
            <w:r>
              <w:rPr>
                <w:b/>
                <w:sz w:val="20"/>
              </w:rPr>
              <w:t>Candidate</w:t>
            </w:r>
          </w:p>
        </w:tc>
        <w:tc>
          <w:tcPr>
            <w:tcW w:type="dxa" w:w="3744"/>
            <w:shd w:val="clear" w:color="auto" w:fill="D6E4F0"/>
          </w:tcPr>
          <w:p>
            <w:r/>
            <w:r>
              <w:rPr>
                <w:b/>
                <w:sz w:val="20"/>
              </w:rPr>
              <w:t>On-site (Lever)</w:t>
            </w:r>
          </w:p>
        </w:tc>
      </w:tr>
      <w:tr>
        <w:trPr>
          <w:cantSplit/>
        </w:trPr>
        <w:tc>
          <w:tcPr>
            <w:tcW w:type="dxa" w:w="3168"/>
          </w:tcPr>
          <w:p>
            <w:pPr>
              <w:spacing w:after="40"/>
            </w:pPr>
            <w:r/>
            <w:r>
              <w:rPr>
                <w:sz w:val="20"/>
              </w:rPr>
              <w:t>Tabitha Alimo</w:t>
            </w:r>
          </w:p>
        </w:tc>
        <w:tc>
          <w:tcPr>
            <w:tcW w:type="dxa" w:w="3744"/>
          </w:tcPr>
          <w:p>
            <w:pPr>
              <w:spacing w:after="40"/>
            </w:pPr>
            <w:r/>
            <w:r>
              <w:rPr>
                <w:sz w:val="20"/>
              </w:rPr>
              <w:t>Tue 10/20, from 9:30 am MDT</w:t>
            </w:r>
          </w:p>
        </w:tc>
      </w:tr>
      <w:tr>
        <w:trPr>
          <w:cantSplit/>
        </w:trPr>
        <w:tc>
          <w:tcPr>
            <w:tcW w:type="dxa" w:w="3168"/>
          </w:tcPr>
          <w:p>
            <w:pPr>
              <w:spacing w:after="40"/>
            </w:pPr>
            <w:r/>
            <w:r>
              <w:rPr>
                <w:sz w:val="20"/>
              </w:rPr>
              <w:t>Teresa Bohner</w:t>
            </w:r>
          </w:p>
        </w:tc>
        <w:tc>
          <w:tcPr>
            <w:tcW w:type="dxa" w:w="3744"/>
          </w:tcPr>
          <w:p>
            <w:pPr>
              <w:spacing w:after="40"/>
            </w:pPr>
            <w:r/>
            <w:r>
              <w:rPr>
                <w:sz w:val="20"/>
              </w:rPr>
              <w:t>Tue 10/20, from 11:15 am MDT</w:t>
            </w:r>
          </w:p>
        </w:tc>
      </w:tr>
      <w:tr>
        <w:trPr>
          <w:cantSplit/>
        </w:trPr>
        <w:tc>
          <w:tcPr>
            <w:tcW w:type="dxa" w:w="3168"/>
          </w:tcPr>
          <w:p>
            <w:pPr>
              <w:spacing w:after="40"/>
            </w:pPr>
            <w:r/>
            <w:r>
              <w:rPr>
                <w:sz w:val="20"/>
              </w:rPr>
              <w:t>Shreya Mukhopadhyay</w:t>
            </w:r>
          </w:p>
        </w:tc>
        <w:tc>
          <w:tcPr>
            <w:tcW w:type="dxa" w:w="3744"/>
          </w:tcPr>
          <w:p>
            <w:pPr>
              <w:spacing w:after="40"/>
            </w:pPr>
            <w:r/>
            <w:r>
              <w:rPr>
                <w:sz w:val="20"/>
              </w:rPr>
              <w:t>Wed 10/21, from 11:15 am MDT</w:t>
            </w:r>
          </w:p>
        </w:tc>
      </w:tr>
    </w:tbl>
    <w:p>
      <w:pPr>
        <w:spacing w:after="40"/>
      </w:pPr>
    </w:p>
    <w:p>
      <w:pPr>
        <w:pStyle w:val="Heading1"/>
      </w:pPr>
      <w:r>
        <w:t>2. Technical presentation</w:t>
      </w:r>
    </w:p>
    <w:p>
      <w:pPr>
        <w:pStyle w:val="Heading2"/>
      </w:pPr>
      <w:r>
        <w:t>Recommendation: Option A, "Close the Month"</w:t>
      </w:r>
    </w:p>
    <w:p>
      <w:r>
        <w:t>Every round so far has been verbal. Option A shows work product, uses no Charm data, and gives all three candidates the same problem. It tests recurring-process ownership, materiality, gap-filling and verifier communication as concrete decisions.</w:t>
      </w:r>
    </w:p>
    <w:p>
      <w:pPr>
        <w:pStyle w:val="Heading2"/>
      </w:pPr>
      <w:r>
        <w:t>Alternatives</w:t>
      </w:r>
    </w:p>
    <w:tbl>
      <w:tblPr>
        <w:tblStyle w:val="TableGrid"/>
        <w:tblW w:type="auto" w:w="0"/>
        <w:tblLook w:firstColumn="1" w:firstRow="1" w:lastColumn="0" w:lastRow="0" w:noHBand="0" w:noVBand="1" w:val="04A0"/>
      </w:tblPr>
      <w:tblGrid>
        <w:gridCol w:w="2412"/>
        <w:gridCol w:w="2412"/>
        <w:gridCol w:w="2412"/>
        <w:gridCol w:w="2412"/>
      </w:tblGrid>
      <w:tr>
        <w:trPr>
          <w:cantSplit/>
        </w:trPr>
        <w:tc>
          <w:tcPr>
            <w:tcW w:type="dxa" w:w="1800"/>
            <w:shd w:val="clear" w:color="auto" w:fill="D6E4F0"/>
          </w:tcPr>
          <w:p>
            <w:r/>
            <w:r>
              <w:rPr>
                <w:b/>
                <w:sz w:val="20"/>
              </w:rPr>
              <w:t>Option</w:t>
            </w:r>
          </w:p>
        </w:tc>
        <w:tc>
          <w:tcPr>
            <w:tcW w:type="dxa" w:w="3312"/>
            <w:shd w:val="clear" w:color="auto" w:fill="D6E4F0"/>
          </w:tcPr>
          <w:p>
            <w:r/>
            <w:r>
              <w:rPr>
                <w:b/>
                <w:sz w:val="20"/>
              </w:rPr>
              <w:t>What the candidate does</w:t>
            </w:r>
          </w:p>
        </w:tc>
        <w:tc>
          <w:tcPr>
            <w:tcW w:type="dxa" w:w="2232"/>
            <w:shd w:val="clear" w:color="auto" w:fill="D6E4F0"/>
          </w:tcPr>
          <w:p>
            <w:r/>
            <w:r>
              <w:rPr>
                <w:b/>
                <w:sz w:val="20"/>
              </w:rPr>
              <w:t>Tests</w:t>
            </w:r>
          </w:p>
        </w:tc>
        <w:tc>
          <w:tcPr>
            <w:tcW w:type="dxa" w:w="2304"/>
            <w:shd w:val="clear" w:color="auto" w:fill="D6E4F0"/>
          </w:tcPr>
          <w:p>
            <w:r/>
            <w:r>
              <w:rPr>
                <w:b/>
                <w:sz w:val="20"/>
              </w:rPr>
              <w:t>Drawbacks</w:t>
            </w:r>
          </w:p>
        </w:tc>
      </w:tr>
      <w:tr>
        <w:trPr>
          <w:cantSplit/>
        </w:trPr>
        <w:tc>
          <w:tcPr>
            <w:tcW w:type="dxa" w:w="1800"/>
          </w:tcPr>
          <w:p>
            <w:pPr>
              <w:spacing w:after="40"/>
            </w:pPr>
            <w:r/>
            <w:r>
              <w:rPr>
                <w:sz w:val="20"/>
              </w:rPr>
              <w:t>B. Data work sample</w:t>
            </w:r>
          </w:p>
        </w:tc>
        <w:tc>
          <w:tcPr>
            <w:tcW w:type="dxa" w:w="3312"/>
          </w:tcPr>
          <w:p>
            <w:pPr>
              <w:spacing w:after="40"/>
            </w:pPr>
            <w:r/>
            <w:r>
              <w:rPr>
                <w:sz w:val="20"/>
              </w:rPr>
              <w:t>Receives a small made-up spreadsheet (one month of deliveries, lab results, fuel and power data) with errors planted in it. Finds the errors, decides which matter, and presents a corrected total with an issues list.</w:t>
            </w:r>
          </w:p>
        </w:tc>
        <w:tc>
          <w:tcPr>
            <w:tcW w:type="dxa" w:w="2232"/>
          </w:tcPr>
          <w:p>
            <w:pPr>
              <w:spacing w:after="40"/>
            </w:pPr>
            <w:r/>
            <w:r>
              <w:rPr>
                <w:sz w:val="20"/>
              </w:rPr>
              <w:t>Hands-on skill directly; cleanest comparison across candidates.</w:t>
            </w:r>
          </w:p>
        </w:tc>
        <w:tc>
          <w:tcPr>
            <w:tcW w:type="dxa" w:w="2304"/>
          </w:tcPr>
          <w:p>
            <w:pPr>
              <w:spacing w:after="40"/>
            </w:pPr>
            <w:r/>
            <w:r>
              <w:rPr>
                <w:sz w:val="20"/>
              </w:rPr>
              <w:t>Someone must build the spreadsheet and answer key before sending, ideally by 10/15. Rewards spreadsheet speed over judgment if the errors are too easy.</w:t>
            </w:r>
          </w:p>
        </w:tc>
      </w:tr>
      <w:tr>
        <w:trPr>
          <w:cantSplit/>
        </w:trPr>
        <w:tc>
          <w:tcPr>
            <w:tcW w:type="dxa" w:w="1800"/>
          </w:tcPr>
          <w:p>
            <w:pPr>
              <w:spacing w:after="40"/>
            </w:pPr>
            <w:r/>
            <w:r>
              <w:rPr>
                <w:sz w:val="20"/>
              </w:rPr>
              <w:t>C. Protocol to operations</w:t>
            </w:r>
          </w:p>
        </w:tc>
        <w:tc>
          <w:tcPr>
            <w:tcW w:type="dxa" w:w="3312"/>
          </w:tcPr>
          <w:p>
            <w:pPr>
              <w:spacing w:after="40"/>
            </w:pPr>
            <w:r/>
            <w:r>
              <w:rPr>
                <w:sz w:val="20"/>
              </w:rPr>
              <w:t>Picks a published carbon removal protocol, chooses the three data requirements hardest to meet in daily operations, and explains how they would set up collection with an operations team.</w:t>
            </w:r>
          </w:p>
        </w:tc>
        <w:tc>
          <w:tcPr>
            <w:tcW w:type="dxa" w:w="2232"/>
          </w:tcPr>
          <w:p>
            <w:pPr>
              <w:spacing w:after="40"/>
            </w:pPr>
            <w:r/>
            <w:r>
              <w:rPr>
                <w:sz w:val="20"/>
              </w:rPr>
              <w:t>Protocol reading, operations sense, learning speed.</w:t>
            </w:r>
          </w:p>
        </w:tc>
        <w:tc>
          <w:tcPr>
            <w:tcW w:type="dxa" w:w="2304"/>
          </w:tcPr>
          <w:p>
            <w:pPr>
              <w:spacing w:after="40"/>
            </w:pPr>
            <w:r/>
            <w:r>
              <w:rPr>
                <w:sz w:val="20"/>
              </w:rPr>
              <w:t>Candidates with prior protocol study start ahead; open choice makes comparison harder.</w:t>
            </w:r>
          </w:p>
        </w:tc>
      </w:tr>
      <w:tr>
        <w:trPr>
          <w:cantSplit/>
        </w:trPr>
        <w:tc>
          <w:tcPr>
            <w:tcW w:type="dxa" w:w="1800"/>
          </w:tcPr>
          <w:p>
            <w:pPr>
              <w:spacing w:after="40"/>
            </w:pPr>
            <w:r/>
            <w:r>
              <w:rPr>
                <w:sz w:val="20"/>
              </w:rPr>
              <w:t>D. Past project, evidence chain</w:t>
            </w:r>
          </w:p>
        </w:tc>
        <w:tc>
          <w:tcPr>
            <w:tcW w:type="dxa" w:w="3312"/>
          </w:tcPr>
          <w:p>
            <w:pPr>
              <w:spacing w:after="40"/>
            </w:pPr>
            <w:r/>
            <w:r>
              <w:rPr>
                <w:sz w:val="20"/>
              </w:rPr>
              <w:t>Presents one past project as if to a verifier: the headline number, how each input was sourced and checked, the weakest link, and what they would change.</w:t>
            </w:r>
          </w:p>
        </w:tc>
        <w:tc>
          <w:tcPr>
            <w:tcW w:type="dxa" w:w="2232"/>
          </w:tcPr>
          <w:p>
            <w:pPr>
              <w:spacing w:after="40"/>
            </w:pPr>
            <w:r/>
            <w:r>
              <w:rPr>
                <w:sz w:val="20"/>
              </w:rPr>
              <w:t>Depth on past results; unscripted Q&amp;A.</w:t>
            </w:r>
          </w:p>
        </w:tc>
        <w:tc>
          <w:tcPr>
            <w:tcW w:type="dxa" w:w="2304"/>
          </w:tcPr>
          <w:p>
            <w:pPr>
              <w:spacing w:after="40"/>
            </w:pPr>
            <w:r/>
            <w:r>
              <w:rPr>
                <w:sz w:val="20"/>
              </w:rPr>
              <w:t>Overlaps stories told in earlier rounds; easiest to rehearse.</w:t>
            </w:r>
          </w:p>
        </w:tc>
      </w:tr>
    </w:tbl>
    <w:p>
      <w:pPr>
        <w:spacing w:after="40"/>
      </w:pPr>
    </w:p>
    <w:p>
      <w:pPr>
        <w:pStyle w:val="Heading3"/>
      </w:pPr>
      <w:r>
        <w:t>Prompt to send candidates (ready for Erik)</w:t>
      </w:r>
    </w:p>
    <w:tbl>
      <w:tblPr>
        <w:tblStyle w:val="TableGrid"/>
        <w:tblW w:type="auto" w:w="0"/>
        <w:tblLook w:firstColumn="1" w:firstRow="1" w:lastColumn="0" w:lastRow="0" w:noHBand="0" w:noVBand="1" w:val="04A0"/>
      </w:tblPr>
      <w:tblGrid>
        <w:gridCol w:w="9648"/>
      </w:tblGrid>
      <w:tr>
        <w:trPr>
          <w:cantSplit/>
        </w:trPr>
        <w:tc>
          <w:tcPr>
            <w:tcW w:type="dxa" w:w="9648"/>
            <w:shd w:val="clear" w:color="auto" w:fill="F3F6FA"/>
          </w:tcPr>
          <w:p>
            <w:pPr>
              <w:spacing w:before="120" w:after="60"/>
            </w:pPr>
            <w:r>
              <w:rPr>
                <w:b/>
              </w:rPr>
              <w:t>MRV Analyst On-Site: Technical Presentation</w:t>
            </w:r>
          </w:p>
          <w:p>
            <w:pPr>
              <w:spacing w:after="60"/>
            </w:pPr>
            <w:r>
              <w:t>Please prepare a 20-minute presentation (slides or a short document, your choice), followed by about 15 minutes of questions. There is no single right answer. We want to see how you reason, what you prioritize, and what assumptions you make. State your assumptions. Plan for 3–4 hours of preparation; please do not spend more.</w:t>
            </w:r>
          </w:p>
          <w:p>
            <w:pPr>
              <w:spacing w:before="120" w:after="60"/>
            </w:pPr>
            <w:r>
              <w:rPr>
                <w:b/>
              </w:rPr>
              <w:t>Scenario (all figures are illustrative)</w:t>
            </w:r>
          </w:p>
          <w:p>
            <w:pPr>
              <w:spacing w:after="60"/>
            </w:pPr>
            <w:r>
              <w:t>A carbon removal project produces bio-oil at one site, trucks it to a second site, and injects it underground for permanent storage. Each month the project reports one removal total to an independent verifier. That total depends on:</w:t>
            </w:r>
          </w:p>
          <w:p>
            <w:pPr>
              <w:spacing w:after="60"/>
              <w:ind w:left="360"/>
            </w:pPr>
            <w:r>
              <w:t>•  Mass of bio-oil injected (scale tickets for each truck delivery, plus a flow meter at the injection well) — owned by the operations team</w:t>
            </w:r>
          </w:p>
          <w:p>
            <w:pPr>
              <w:spacing w:after="60"/>
              <w:ind w:left="360"/>
            </w:pPr>
            <w:r>
              <w:t>•  Carbon content of the bio-oil (lab results, one sample per week) — owned by the lab</w:t>
            </w:r>
          </w:p>
          <w:p>
            <w:pPr>
              <w:spacing w:after="60"/>
              <w:ind w:left="360"/>
            </w:pPr>
            <w:r>
              <w:t>•  Emissions to subtract: truck fuel (logistics team), electricity (utility bills, facilities team), and production energy (operations team)</w:t>
            </w:r>
          </w:p>
          <w:p>
            <w:pPr>
              <w:spacing w:after="60"/>
            </w:pPr>
            <w:r>
              <w:t>None of these teams report to you.</w:t>
            </w:r>
          </w:p>
          <w:p>
            <w:pPr>
              <w:spacing w:before="120" w:after="60"/>
            </w:pPr>
            <w:r>
              <w:rPr>
                <w:b/>
              </w:rPr>
              <w:t>Part 1 — Design the monthly close</w:t>
            </w:r>
          </w:p>
          <w:p>
            <w:pPr>
              <w:spacing w:after="60"/>
            </w:pPr>
            <w:r>
              <w:t>Lay out how you would run this report every month: what you collect, from whom, by when, what checks you run, and how a verifier could trace each number back to its source.</w:t>
            </w:r>
          </w:p>
          <w:p>
            <w:pPr>
              <w:spacing w:before="120" w:after="60"/>
            </w:pPr>
            <w:r>
              <w:rPr>
                <w:b/>
              </w:rPr>
              <w:t>Part 2 — Three days before submission</w:t>
            </w:r>
          </w:p>
          <w:p>
            <w:pPr>
              <w:spacing w:after="60"/>
            </w:pPr>
            <w:r>
              <w:t>You find three problems:</w:t>
            </w:r>
          </w:p>
          <w:p>
            <w:pPr>
              <w:spacing w:after="60"/>
              <w:ind w:left="360"/>
            </w:pPr>
            <w:r>
              <w:t>•  The injection meter total is 970 tonnes. The scale tickets for oil delivered that month sum to 1,000 tonnes.</w:t>
            </w:r>
          </w:p>
          <w:p>
            <w:pPr>
              <w:spacing w:after="60"/>
              <w:ind w:left="360"/>
            </w:pPr>
            <w:r>
              <w:t>•  One of the four weekly lab results is missing.</w:t>
            </w:r>
          </w:p>
          <w:p>
            <w:pPr>
              <w:spacing w:after="60"/>
              <w:ind w:left="360"/>
            </w:pPr>
            <w:r>
              <w:t>•  Truck fuel records for one week are missing.</w:t>
            </w:r>
          </w:p>
          <w:p>
            <w:pPr>
              <w:spacing w:after="60"/>
            </w:pPr>
            <w:r>
              <w:t>For each: what would you need to know, what would you report, and what would you tell the verifier and the team that owns the data? Say which, if any, would stop you from submitting.</w:t>
            </w:r>
          </w:p>
          <w:p>
            <w:pPr>
              <w:spacing w:before="120" w:after="60"/>
            </w:pPr>
            <w:r>
              <w:rPr>
                <w:b/>
              </w:rPr>
              <w:t>Part 3 — Month four</w:t>
            </w:r>
          </w:p>
          <w:p>
            <w:pPr>
              <w:spacing w:after="60"/>
            </w:pPr>
            <w:r>
              <w:t>After three months the close takes too long. What would you change first, and how would you know it worked?</w:t>
            </w:r>
          </w:p>
        </w:tc>
      </w:tr>
    </w:tbl>
    <w:p>
      <w:pPr>
        <w:spacing w:after="40"/>
      </w:pPr>
    </w:p>
    <w:p>
      <w:pPr>
        <w:pStyle w:val="Heading3"/>
      </w:pPr>
      <w:r>
        <w:t>What to listen for</w:t>
      </w:r>
    </w:p>
    <w:tbl>
      <w:tblPr>
        <w:tblStyle w:val="TableGrid"/>
        <w:tblW w:type="auto" w:w="0"/>
        <w:tblLook w:firstColumn="1" w:firstRow="1" w:lastColumn="0" w:lastRow="0" w:noHBand="0" w:noVBand="1" w:val="04A0"/>
      </w:tblPr>
      <w:tblGrid>
        <w:gridCol w:w="3216"/>
        <w:gridCol w:w="3216"/>
        <w:gridCol w:w="3216"/>
      </w:tblGrid>
      <w:tr>
        <w:trPr>
          <w:cantSplit/>
        </w:trPr>
        <w:tc>
          <w:tcPr>
            <w:tcW w:type="dxa" w:w="1800"/>
            <w:shd w:val="clear" w:color="auto" w:fill="D6E4F0"/>
          </w:tcPr>
          <w:p>
            <w:r/>
            <w:r>
              <w:rPr>
                <w:b/>
                <w:sz w:val="20"/>
              </w:rPr>
              <w:t>Part</w:t>
            </w:r>
          </w:p>
        </w:tc>
        <w:tc>
          <w:tcPr>
            <w:tcW w:type="dxa" w:w="4104"/>
            <w:shd w:val="clear" w:color="auto" w:fill="D6E4F0"/>
          </w:tcPr>
          <w:p>
            <w:r/>
            <w:r>
              <w:rPr>
                <w:b/>
                <w:sz w:val="20"/>
              </w:rPr>
              <w:t>Strong</w:t>
            </w:r>
          </w:p>
        </w:tc>
        <w:tc>
          <w:tcPr>
            <w:tcW w:type="dxa" w:w="3744"/>
            <w:shd w:val="clear" w:color="auto" w:fill="D6E4F0"/>
          </w:tcPr>
          <w:p>
            <w:r/>
            <w:r>
              <w:rPr>
                <w:b/>
                <w:sz w:val="20"/>
              </w:rPr>
              <w:t>Weak</w:t>
            </w:r>
          </w:p>
        </w:tc>
      </w:tr>
      <w:tr>
        <w:trPr>
          <w:cantSplit/>
        </w:trPr>
        <w:tc>
          <w:tcPr>
            <w:tcW w:type="dxa" w:w="1800"/>
          </w:tcPr>
          <w:p>
            <w:pPr>
              <w:spacing w:after="40"/>
            </w:pPr>
            <w:r/>
            <w:r>
              <w:rPr>
                <w:sz w:val="20"/>
              </w:rPr>
              <w:t>1. Monthly close</w:t>
            </w:r>
          </w:p>
        </w:tc>
        <w:tc>
          <w:tcPr>
            <w:tcW w:type="dxa" w:w="4104"/>
          </w:tcPr>
          <w:p>
            <w:pPr>
              <w:spacing w:after="40"/>
            </w:pPr>
            <w:r/>
            <w:r>
              <w:rPr>
                <w:sz w:val="20"/>
              </w:rPr>
              <w:t>Named owner and due date for each input; checks that compare sources against each other (tickets vs. meter, lab vs. history); an evidence trail per number; a calendar that leaves time for review before the deadline.</w:t>
            </w:r>
          </w:p>
        </w:tc>
        <w:tc>
          <w:tcPr>
            <w:tcW w:type="dxa" w:w="3744"/>
          </w:tcPr>
          <w:p>
            <w:pPr>
              <w:spacing w:after="40"/>
            </w:pPr>
            <w:r/>
            <w:r>
              <w:rPr>
                <w:sz w:val="20"/>
              </w:rPr>
              <w:t>A generic data-governance framework with no owners or dates; checks that only test format; evidence treated as an afterthought.</w:t>
            </w:r>
          </w:p>
        </w:tc>
      </w:tr>
      <w:tr>
        <w:trPr>
          <w:cantSplit/>
        </w:trPr>
        <w:tc>
          <w:tcPr>
            <w:tcW w:type="dxa" w:w="1800"/>
          </w:tcPr>
          <w:p>
            <w:pPr>
              <w:spacing w:after="40"/>
            </w:pPr>
            <w:r/>
            <w:r>
              <w:rPr>
                <w:sz w:val="20"/>
              </w:rPr>
              <w:t>2a. Tickets vs. meter</w:t>
            </w:r>
          </w:p>
        </w:tc>
        <w:tc>
          <w:tcPr>
            <w:tcW w:type="dxa" w:w="4104"/>
          </w:tcPr>
          <w:p>
            <w:pPr>
              <w:spacing w:after="40"/>
            </w:pPr>
            <w:r/>
            <w:r>
              <w:rPr>
                <w:sz w:val="20"/>
              </w:rPr>
              <w:t>Asks before deciding: inventory carried over in tanks, meter calibration, ticket errors, timing of deliveries vs. injection. Reports the lower or better-evidenced figure until the gap is explained. Ties the decision to a threshold and says why.</w:t>
            </w:r>
          </w:p>
        </w:tc>
        <w:tc>
          <w:tcPr>
            <w:tcW w:type="dxa" w:w="3744"/>
          </w:tcPr>
          <w:p>
            <w:pPr>
              <w:spacing w:after="40"/>
            </w:pPr>
            <w:r/>
            <w:r>
              <w:rPr>
                <w:sz w:val="20"/>
              </w:rPr>
              <w:t>Averages the two, picks the higher, or calls 3% immaterial without a basis.</w:t>
            </w:r>
          </w:p>
        </w:tc>
      </w:tr>
      <w:tr>
        <w:trPr>
          <w:cantSplit/>
        </w:trPr>
        <w:tc>
          <w:tcPr>
            <w:tcW w:type="dxa" w:w="1800"/>
          </w:tcPr>
          <w:p>
            <w:pPr>
              <w:spacing w:after="40"/>
            </w:pPr>
            <w:r/>
            <w:r>
              <w:rPr>
                <w:sz w:val="20"/>
              </w:rPr>
              <w:t>2b. Missing lab result</w:t>
            </w:r>
          </w:p>
        </w:tc>
        <w:tc>
          <w:tcPr>
            <w:tcW w:type="dxa" w:w="4104"/>
          </w:tcPr>
          <w:p>
            <w:pPr>
              <w:spacing w:after="40"/>
            </w:pPr>
            <w:r/>
            <w:r>
              <w:rPr>
                <w:sz w:val="20"/>
              </w:rPr>
              <w:t>Chases the lab first; if a substitute is needed, picks a conservative one (e.g., lowest of the month) and discloses it.</w:t>
            </w:r>
          </w:p>
        </w:tc>
        <w:tc>
          <w:tcPr>
            <w:tcW w:type="dxa" w:w="3744"/>
          </w:tcPr>
          <w:p>
            <w:pPr>
              <w:spacing w:after="40"/>
            </w:pPr>
            <w:r/>
            <w:r>
              <w:rPr>
                <w:sz w:val="20"/>
              </w:rPr>
              <w:t>Fills with an average without disclosure.</w:t>
            </w:r>
          </w:p>
        </w:tc>
      </w:tr>
      <w:tr>
        <w:trPr>
          <w:cantSplit/>
        </w:trPr>
        <w:tc>
          <w:tcPr>
            <w:tcW w:type="dxa" w:w="1800"/>
          </w:tcPr>
          <w:p>
            <w:pPr>
              <w:spacing w:after="40"/>
            </w:pPr>
            <w:r/>
            <w:r>
              <w:rPr>
                <w:sz w:val="20"/>
              </w:rPr>
              <w:t>2c. Missing fuel records</w:t>
            </w:r>
          </w:p>
        </w:tc>
        <w:tc>
          <w:tcPr>
            <w:tcW w:type="dxa" w:w="4104"/>
          </w:tcPr>
          <w:p>
            <w:pPr>
              <w:spacing w:after="40"/>
            </w:pPr>
            <w:r/>
            <w:r>
              <w:rPr>
                <w:sz w:val="20"/>
              </w:rPr>
              <w:t>Recognizes this is a subtraction, so a conservative fill errs high; checks other sources (fuel cards, mileage, invoices).</w:t>
            </w:r>
          </w:p>
        </w:tc>
        <w:tc>
          <w:tcPr>
            <w:tcW w:type="dxa" w:w="3744"/>
          </w:tcPr>
          <w:p>
            <w:pPr>
              <w:spacing w:after="40"/>
            </w:pPr>
            <w:r/>
            <w:r>
              <w:rPr>
                <w:sz w:val="20"/>
              </w:rPr>
              <w:t>Treats it the same way as the lab gap.</w:t>
            </w:r>
          </w:p>
        </w:tc>
      </w:tr>
      <w:tr>
        <w:trPr>
          <w:cantSplit/>
        </w:trPr>
        <w:tc>
          <w:tcPr>
            <w:tcW w:type="dxa" w:w="1800"/>
          </w:tcPr>
          <w:p>
            <w:pPr>
              <w:spacing w:after="40"/>
            </w:pPr>
            <w:r/>
            <w:r>
              <w:rPr>
                <w:sz w:val="20"/>
              </w:rPr>
              <w:t>2. Verifier communication</w:t>
            </w:r>
          </w:p>
        </w:tc>
        <w:tc>
          <w:tcPr>
            <w:tcW w:type="dxa" w:w="4104"/>
          </w:tcPr>
          <w:p>
            <w:pPr>
              <w:spacing w:after="40"/>
            </w:pPr>
            <w:r/>
            <w:r>
              <w:rPr>
                <w:sz w:val="20"/>
              </w:rPr>
              <w:t>Discloses what happened, what was used instead, and why, before being asked.</w:t>
            </w:r>
          </w:p>
        </w:tc>
        <w:tc>
          <w:tcPr>
            <w:tcW w:type="dxa" w:w="3744"/>
          </w:tcPr>
          <w:p>
            <w:pPr>
              <w:spacing w:after="40"/>
            </w:pPr>
            <w:r/>
            <w:r>
              <w:rPr>
                <w:sz w:val="20"/>
              </w:rPr>
              <w:t>Aims to close the topic quickly.</w:t>
            </w:r>
          </w:p>
        </w:tc>
      </w:tr>
      <w:tr>
        <w:trPr>
          <w:cantSplit/>
        </w:trPr>
        <w:tc>
          <w:tcPr>
            <w:tcW w:type="dxa" w:w="1800"/>
          </w:tcPr>
          <w:p>
            <w:pPr>
              <w:spacing w:after="40"/>
            </w:pPr>
            <w:r/>
            <w:r>
              <w:rPr>
                <w:sz w:val="20"/>
              </w:rPr>
              <w:t>3. Month four</w:t>
            </w:r>
          </w:p>
        </w:tc>
        <w:tc>
          <w:tcPr>
            <w:tcW w:type="dxa" w:w="4104"/>
          </w:tcPr>
          <w:p>
            <w:pPr>
              <w:spacing w:after="40"/>
            </w:pPr>
            <w:r/>
            <w:r>
              <w:rPr>
                <w:sz w:val="20"/>
              </w:rPr>
              <w:t>Measures where time actually goes before fixing it; targets the slowest handoff; defines a measurable result (days to close, number of verifier questions).</w:t>
            </w:r>
          </w:p>
        </w:tc>
        <w:tc>
          <w:tcPr>
            <w:tcW w:type="dxa" w:w="3744"/>
          </w:tcPr>
          <w:p>
            <w:pPr>
              <w:spacing w:after="40"/>
            </w:pPr>
            <w:r/>
            <w:r>
              <w:rPr>
                <w:sz w:val="20"/>
              </w:rPr>
              <w:t>Proposes automation or new software without diagnosing first.</w:t>
            </w:r>
          </w:p>
        </w:tc>
      </w:tr>
    </w:tbl>
    <w:p>
      <w:pPr>
        <w:spacing w:after="40"/>
      </w:pPr>
    </w:p>
    <w:p>
      <w:pPr>
        <w:pStyle w:val="Heading1"/>
      </w:pPr>
      <w:r>
        <w:t>3. Panel questions</w:t>
      </w:r>
    </w:p>
    <w:p>
      <w:r>
        <w:t>Same set for all three. Each covers a requirement in the job posting.</w:t>
      </w:r>
    </w:p>
    <w:p>
      <w:pPr>
        <w:pStyle w:val="Heading3"/>
      </w:pPr>
      <w:r>
        <w:t>Working with operations</w:t>
      </w:r>
    </w:p>
    <w:p>
      <w:r>
        <w:rPr>
          <w:i/>
          <w:color w:val="595959"/>
          <w:sz w:val="19"/>
        </w:rPr>
        <w:t>Posting: "Track record of working with the operations side of the business on a day to day basis."</w:t>
      </w:r>
    </w:p>
    <w:p>
      <w:pPr>
        <w:pStyle w:val="ListBullet"/>
        <w:spacing w:after="40"/>
      </w:pPr>
      <w:r>
        <w:t>Tell us about the time you spent where the work physically happens — a field site, plant, lab. What did you learn there that the data could not show you?</w:t>
      </w:r>
    </w:p>
    <w:p>
      <w:pPr>
        <w:pStyle w:val="ListBullet"/>
        <w:spacing w:after="40"/>
      </w:pPr>
      <w:r>
        <w:t>In your first month, an operator tells you the data you need is a waste of their time during a busy week. What do you do that day, and what do you do differently by month three?</w:t>
      </w:r>
    </w:p>
    <w:p>
      <w:pPr>
        <w:pStyle w:val="ListBullet"/>
        <w:spacing w:after="40"/>
      </w:pPr>
      <w:r>
        <w:t>What would you need from the operations team in your first 30 days, and what would you give them in return?</w:t>
      </w:r>
    </w:p>
    <w:p>
      <w:pPr>
        <w:pStyle w:val="Heading3"/>
      </w:pPr>
      <w:r>
        <w:t>Integrity under pressure</w:t>
      </w:r>
    </w:p>
    <w:p>
      <w:r>
        <w:rPr>
          <w:i/>
          <w:color w:val="595959"/>
          <w:sz w:val="19"/>
        </w:rPr>
        <w:t>Posting: "maintain a 100% verification success rate for GHG Statement submissions."</w:t>
      </w:r>
    </w:p>
    <w:p>
      <w:pPr>
        <w:pStyle w:val="ListBullet"/>
        <w:spacing w:after="40"/>
      </w:pPr>
      <w:r>
        <w:t>Tell us about a time someone senior wanted a number or conclusion your data did not support. What happened?</w:t>
      </w:r>
    </w:p>
    <w:p>
      <w:pPr>
        <w:pStyle w:val="ListBullet"/>
        <w:spacing w:after="40"/>
      </w:pPr>
      <w:r>
        <w:t>When is it right to report a lower number than you believe is true?</w:t>
      </w:r>
    </w:p>
    <w:p>
      <w:pPr>
        <w:pStyle w:val="Heading3"/>
      </w:pPr>
      <w:r>
        <w:t>Mistakes and feedback</w:t>
      </w:r>
    </w:p>
    <w:p>
      <w:r>
        <w:rPr>
          <w:i/>
          <w:color w:val="595959"/>
          <w:sz w:val="19"/>
        </w:rPr>
        <w:t>Charm values (posting): "We take calculated risks and treat mistakes as opportunities to improve."</w:t>
      </w:r>
    </w:p>
    <w:p>
      <w:pPr>
        <w:pStyle w:val="ListBullet"/>
        <w:spacing w:after="40"/>
      </w:pPr>
      <w:r>
        <w:t>Tell us about a mistake of yours that reached someone outside your team. How did you find out, and what did you change?</w:t>
      </w:r>
    </w:p>
    <w:p>
      <w:pPr>
        <w:pStyle w:val="ListBullet"/>
        <w:spacing w:after="40"/>
      </w:pPr>
      <w:r>
        <w:t>Tell us about feedback on your work you disagreed with. What did you do with it?</w:t>
      </w:r>
    </w:p>
    <w:p>
      <w:pPr>
        <w:pStyle w:val="Heading3"/>
      </w:pPr>
      <w:r>
        <w:t>Competing deadlines</w:t>
      </w:r>
    </w:p>
    <w:p>
      <w:r>
        <w:rPr>
          <w:i/>
          <w:color w:val="595959"/>
          <w:sz w:val="19"/>
        </w:rPr>
        <w:t>Posting: "Ability to thrive while managing multiple tasks and balancing competing deadlines."</w:t>
      </w:r>
    </w:p>
    <w:p>
      <w:pPr>
        <w:pStyle w:val="ListBullet"/>
        <w:spacing w:after="40"/>
      </w:pPr>
      <w:r>
        <w:t>Last week of the month: the verifier has open questions on last month's report, this month's close is due, and operations wants help with a new data sheet. How do you sequence it, and who do you tell?</w:t>
      </w:r>
    </w:p>
    <w:p>
      <w:pPr>
        <w:pStyle w:val="Heading3"/>
      </w:pPr>
      <w:r>
        <w:t>Working inside fixed platforms</w:t>
      </w:r>
    </w:p>
    <w:p>
      <w:r>
        <w:rPr>
          <w:i/>
          <w:color w:val="595959"/>
          <w:sz w:val="19"/>
        </w:rPr>
        <w:t>Posting: "Act as a platform power-user collaborating with technical teams from our digital MRV (dMRV) platforms Mangrove and Isometric Certify."</w:t>
      </w:r>
    </w:p>
    <w:p>
      <w:pPr>
        <w:pStyle w:val="ListBullet"/>
        <w:spacing w:after="40"/>
      </w:pPr>
      <w:r>
        <w:t>Describe a system you inherited and disliked. Did you work within it, push the vendor or owner to change it, or replace it? How did you decide?</w:t>
      </w:r>
    </w:p>
    <w:p>
      <w:pPr>
        <w:pStyle w:val="Heading3"/>
      </w:pPr>
      <w:r>
        <w:t>Fit</w:t>
      </w:r>
    </w:p>
    <w:p>
      <w:pPr>
        <w:pStyle w:val="ListBullet"/>
        <w:spacing w:after="40"/>
      </w:pPr>
      <w:r>
        <w:t>What kind of work drains you? (The role carries a monthly cycle of detailed, repeated checks.)</w:t>
      </w:r>
    </w:p>
    <w:p>
      <w:pPr>
        <w:pStyle w:val="ListBullet"/>
        <w:spacing w:after="40"/>
      </w:pPr>
      <w:r>
        <w:t>What do you want to know about Charm that you have not been able to find out?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