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A401" w14:textId="77777777" w:rsidR="00EB3633" w:rsidRDefault="00000000">
      <w:pPr>
        <w:pStyle w:val="Heading2"/>
      </w:pPr>
      <w:r>
        <w:rPr>
          <w:sz w:val="24"/>
        </w:rPr>
        <w:t>Background: The System This Agent Operates Within</w:t>
      </w:r>
    </w:p>
    <w:p w14:paraId="12069794" w14:textId="77777777" w:rsidR="00EB3633" w:rsidRDefault="00000000">
      <w:r>
        <w:t>Charm Industrial produces bio-oil by pyrolyzing waste biomass and injects it permanently into deep geological formations. Because the carbon in that biomass was originally atmospheric CO₂, injecting the oil constitutes durable carbon dioxide removal (CDR). Buyers — corporations with net-zero commitments — pay for this removal in the form of carbon removal credits, each representing one verified metric ton of net CO₂ removed.</w:t>
      </w:r>
    </w:p>
    <w:p w14:paraId="21F1BABF" w14:textId="77777777" w:rsidR="00EB3633" w:rsidRDefault="00000000">
      <w:r>
        <w:t>The key word is verified. Charm works with Isometric — an independent carbon registry that sets quantification standards and maintains the public credit ledger — as its registry operator. The Isometric Standard v2.0 §5.2 states: “Credits are Issued representing a specific Removal or Reduction. This process is undertaken once the net Removal or Reduction has been Verified against the respective Protocol.” Verification is therefore the revenue gate: no passing audit, no credits, no revenue. Each batch is worth approximately $10,000–$20,000 in credit revenue, representing on average about 29 tCO₂e of net removal (range: 23–40 tCO₂e across recent production batches).</w:t>
      </w:r>
    </w:p>
    <w:p w14:paraId="5195EAC8" w14:textId="25FE39A2" w:rsidR="00EB3633" w:rsidRDefault="00000000">
      <w:r>
        <w:t>The verifier audits an MRV package drawn from primary sources: certified scale tickets, bills of lading, lab analysis reports, operations notes, a real-time lot-tracking database, and the Isometric Certify registry. Errors in any of them can trigger a verifier flag, delay credit issuance, or require a costly re-audit. The AECN Batch QA Agent automates Charm’s internal pre-submission QA pass by reading all six source categories, cross-checking 40+ data points against primary documents, and producing a PASS/FAIL/FLAG/N/A checklist with evidence citations for every item. It then runs an adversarial self-review and delivers the checklist for human approval before verifier submission.</w:t>
      </w:r>
    </w:p>
    <w:p w14:paraId="7F5CD9BD" w14:textId="77777777" w:rsidR="00EB3633" w:rsidRDefault="00000000">
      <w:pPr>
        <w:pStyle w:val="Heading2"/>
      </w:pPr>
      <w:r>
        <w:rPr>
          <w:sz w:val="24"/>
        </w:rPr>
        <w:t>Performance</w:t>
      </w:r>
    </w:p>
    <w:p w14:paraId="281A14C2" w14:textId="77777777" w:rsidR="00EB3633" w:rsidRDefault="00000000">
      <w:r>
        <w:rPr>
          <w:b/>
        </w:rPr>
        <w:t xml:space="preserve">Accuracy. </w:t>
      </w:r>
      <w:r>
        <w:t>The agent's accuracy record spans 13 documented failure categories across approximately 40 production batches, each representing a real error that caused rework. Early failure modes included reading the wrong row from the lot-tracking database, declaring documents absent without checking the definitive source, and generating confident adversarial-review findings with no basis in any source document. Each failure generated a structural fix rather than a verbal commitment: a citation-tag requirement forces every finding to reference a key in a structured source-read log, and a pre-delivery audit script rewrites any uncited row before the checklist reaches a human reviewer. Material errors — those affecting the Net CDR calculation, such as wrong emission factor source years (batch 2-160) or a confabulated mass discrepancy that cascaded into nine false checklist failures (batch 2-185) — were common in early sessions. By the April 2026 reporting period, material errors had reached zero across all tracked batches; remaining issues were non-material process gaps (laziness violations, wrong FAIL/FLAG classifications). That trend culminated in back-to-back clean completions — zero errors of any kind — in batches 2-187 and 2-191: the first clean streak achieved, and only in the second reporting period the model has run.</w:t>
      </w:r>
    </w:p>
    <w:p w14:paraId="0B9B1BF0" w14:textId="77777777" w:rsidR="00EB3633" w:rsidRDefault="00000000">
      <w:r>
        <w:rPr>
          <w:b/>
        </w:rPr>
        <w:t xml:space="preserve">Reliability. </w:t>
      </w:r>
      <w:r>
        <w:t xml:space="preserve">The architecture is four sequential gates — source reads, cross-check and checklist build, adversarial self-review, delivery — with hard entry and exit conditions at each </w:t>
      </w:r>
      <w:r>
        <w:lastRenderedPageBreak/>
        <w:t>transition. Gate violations carry an explicit tracked penalty. Clean production runs complete in roughly 45–75 minutes of active session time, averaging about 316 turns across recent batches. The main reliability risk is context fatigue in long sessions, where evidence notes can drift toward generic phrasing; the adversarial self-review gate is specifically designed to catch this before delivery.</w:t>
      </w:r>
    </w:p>
    <w:p w14:paraId="588B8846" w14:textId="77777777" w:rsidR="00EB3633" w:rsidRDefault="00000000">
      <w:r>
        <w:rPr>
          <w:b/>
        </w:rPr>
        <w:t xml:space="preserve">Security and Data Privacy. </w:t>
      </w:r>
      <w:r>
        <w:t>Two distinct threat models apply.</w:t>
      </w:r>
    </w:p>
    <w:p w14:paraId="7BF7C735" w14:textId="77777777" w:rsidR="00EB3633" w:rsidRDefault="00000000">
      <w:r>
        <w:t>The first is data integrity: a hallucinated PASS on an unverified item means a misreported net removal, which could result in invalid credits issued against a flawed calculation. Third-party verifiers and carbon market buyers rely on this data, making integrity failures both operationally and legally consequential. Structural controls include the citation-tag requirement, log-driven adversarial review (which cannot challenge values not recorded in source reads), and a pre-delivery audit script. The Certify registry is enforced read-only via policy, a system hook, and a permission seatbelt.</w:t>
      </w:r>
    </w:p>
    <w:p w14:paraId="6BA23E07" w14:textId="77777777" w:rsidR="00EB3633" w:rsidRDefault="00000000">
      <w:r>
        <w:t>The second is data privacy, and it is the more significant gap in a deployment context. The agent accesses commercially sensitive data: batch-level injection volumes (revealing production capacity to competitors), proprietary bio-oil chemical composition, supplier relationships embedded in shipping documents, credit issuance timing (market-sensitive), and financial data from the lot-tracking database. The prototype uses broad, unscoped credentials with no audit log of what data was accessed or transmitted. At one organization, the blast radius of a credential compromise is bounded by that organization’s own data. At 1,000 organizations, cross-tenant data leakage becomes a material risk the current architecture cannot contain. Any production deployment requires scoped credentials per tenant, read-only API access, session isolation, and audit logging — none of which are present in the prototype.</w:t>
      </w:r>
    </w:p>
    <w:p w14:paraId="4A328376" w14:textId="77777777" w:rsidR="00EB3633" w:rsidRDefault="00000000">
      <w:pPr>
        <w:pStyle w:val="Heading2"/>
      </w:pPr>
      <w:r>
        <w:rPr>
          <w:sz w:val="24"/>
        </w:rPr>
        <w:t>Product Manager Recommendations</w:t>
      </w:r>
    </w:p>
    <w:p w14:paraId="0EEA1585" w14:textId="77777777" w:rsidR="00EB3633" w:rsidRDefault="00000000">
      <w:r>
        <w:t>The core opportunity is cost reduction through three architectural changes. Using batch 2-186 as a representative clean production run ($146, 290 turns), current cost breaks into three components:</w:t>
      </w:r>
    </w:p>
    <w:p w14:paraId="45484604" w14:textId="77777777" w:rsidR="00EB3633" w:rsidRDefault="00000000">
      <w:pPr>
        <w:pStyle w:val="ListBullet"/>
      </w:pPr>
      <w:r>
        <w:t>Cache reads: 61.3M tokens × $1.50/MTok = $92 (63% of cost). Each turn, the model re-reads its full ≈211k-token context — knowledge base, skill documentation, checklist structure — from the 1-hour prompt cache.</w:t>
      </w:r>
    </w:p>
    <w:p w14:paraId="00B2D1DC" w14:textId="77777777" w:rsidR="00EB3633" w:rsidRDefault="00000000">
      <w:pPr>
        <w:pStyle w:val="ListBullet"/>
      </w:pPr>
      <w:r>
        <w:t>Cache writes: 1.1M tokens × $30/MTok = $33 (23%). Written once at session start.</w:t>
      </w:r>
    </w:p>
    <w:p w14:paraId="6729A68F" w14:textId="77777777" w:rsidR="00EB3633" w:rsidRDefault="00000000">
      <w:pPr>
        <w:pStyle w:val="ListBullet"/>
      </w:pPr>
      <w:r>
        <w:t>Output tokens: 280k tokens × $75/MTok = $21 (14%). Checklist text, evidence notes, reasoning.</w:t>
      </w:r>
    </w:p>
    <w:p w14:paraId="43E79A49" w14:textId="77777777" w:rsidR="00EB3633" w:rsidRDefault="00000000">
      <w:r>
        <w:rPr>
          <w:b/>
        </w:rPr>
        <w:t xml:space="preserve">Change 1 — Deterministic arithmetic for mass-chain checks (−$20, → ~$126/batch). </w:t>
      </w:r>
      <w:r>
        <w:t xml:space="preserve">The mass-chain verification — confirming scale ticket weights, shipping documents, lot-tracker records, and the Certify calculation all agree on the same injected mass — is pure arithmetic the LLM currently reasons through across ~40 turns. A deterministic script (already prototyped and validated) eliminates those turns: 40 turns × 211k tokens × $1.50/MTok = $12.66 saved on cache reads alone, with proportional output and cache-write reductions </w:t>
      </w:r>
      <w:r>
        <w:lastRenderedPageBreak/>
        <w:t xml:space="preserve">totaling ~$20. It also eliminates the confabulation errors </w:t>
      </w:r>
      <w:r w:rsidR="00305A54">
        <w:t>that can cascade into material misstatements if not caught by a human reviewer.</w:t>
      </w:r>
    </w:p>
    <w:p w14:paraId="2716BBC3" w14:textId="77777777" w:rsidR="00EB3633" w:rsidRDefault="00000000">
      <w:r>
        <w:rPr>
          <w:b/>
        </w:rPr>
        <w:t xml:space="preserve">Change 2 — Model cycling: Sonnet for routine tasks, Opus for judgment calls (−$47, → ~$79/batch). </w:t>
      </w:r>
      <w:r>
        <w:t>Routing 60% of turns to Claude Sonnet ($15/MTok output, $0.30/MTok cache reads vs. Opus’s $75/$1.50) reduces cache reads from $79 to $41 and output from $21 to $11, saving ~$47/batch. Opus is reserved for adversarial self-review, complex allocation judgment, and protocol interpretation — tasks where model capability is genuinely load-bearing.</w:t>
      </w:r>
    </w:p>
    <w:p w14:paraId="2E2DE821" w14:textId="77777777" w:rsidR="00EB3633" w:rsidRDefault="00000000">
      <w:r>
        <w:rPr>
          <w:b/>
        </w:rPr>
        <w:t xml:space="preserve">Change 3 — Direct API connections replacing browser automation (−$32, → ~$47/batch). </w:t>
      </w:r>
      <w:r>
        <w:t>Most remaining turns are browser navigations: opening PDFs, reading spreadsheet rows, scraping the registry. Direct API calls to Google Sheets, Drive, and Certify would retrieve the same data in one round trip instead of 5–10 browser turns, cutting turn count by ~40% (100 turns). At the blended Sonnet/Opus cache-read rate ($0.78/MTok): 100 turns × 211k tokens × $0.78/MTok = $16.46 saved on cache reads, plus $3.84 on output and proportional cache-write savings ≈ $32/batch.</w:t>
      </w:r>
    </w:p>
    <w:p w14:paraId="322F0DFC" w14:textId="77777777" w:rsidR="00EB3633" w:rsidRDefault="00000000">
      <w:r>
        <w:t>All three combined: ~$146 → ~$47/batch (68% reduction). Change 2 delivers the largest single cut because cache reads are 63% of current cost and Sonnet’s 5× cache-read discount applies to the dominant driver.</w:t>
      </w:r>
    </w:p>
    <w:p w14:paraId="523847C6" w14:textId="77777777" w:rsidR="00EB3633" w:rsidRDefault="00000000">
      <w:pPr>
        <w:pStyle w:val="Heading2"/>
      </w:pPr>
      <w:r>
        <w:rPr>
          <w:sz w:val="24"/>
        </w:rPr>
        <w:t>Willingness to Pay</w:t>
      </w:r>
    </w:p>
    <w:p w14:paraId="54265EDB" w14:textId="77777777" w:rsidR="00EB3633" w:rsidRDefault="00000000">
      <w:r>
        <w:t>Manual batch QA by a senior MRV analyst takes approximately one hour. Per Bureau of Labor Statistics Employer Costs for Employee Compensation data, employer-paid benefits run approximately 30% of total compensation for professional workers; with standard overhead (facilities, equipment, management) included, the fully-loaded multiplier is commonly cited at 1.35–1.4×, putting the true cost at roughly $135–$140/batch. The agent at ~$165/batch is modestly more expensive today on pure labor-substitution terms, but the value proposition goes beyond cost: it checks every item against every primary source every time, produces verifier-auditable citations, runs overnight, and catches errors a one-hour human spot-check might miss. A verifier query requiring re-audit costs meaningfully more than the $25–$30 gap.</w:t>
      </w:r>
    </w:p>
    <w:p w14:paraId="5F11CEEC" w14:textId="77777777" w:rsidR="009D6AD8" w:rsidRDefault="00000000">
      <w:r>
        <w:t>That comparison also assumes the organization already employs a qualified in-house MRV analyst — an assumption that does not hold for most CDR project operators. Meaningful-scale CDR has only existed since roughly 2022, and practitioners with depth in CDR verification protocols are genuinely scarce. Organizations without in-house capacity typically source this work through specialized contractors or consulting firms, who command a meaningful premium over salaried staff in niche technical markets. For those buyers, the agent is not a marginal upgrade over internal labor; at $165/batch today and $47 at full optimization, it is already competitive with or cheaper than the outside alternative — while delivering consistency and documentation quality a human contractor cannot guarantee across every checklist item.</w:t>
      </w:r>
    </w:p>
    <w:p w14:paraId="493C2BFE" w14:textId="77777777" w:rsidR="00EB3633" w:rsidRDefault="00000000">
      <w:r>
        <w:t xml:space="preserve">Willingness to pay: $150–$175/batch at current costs — cost-neutral against human QA with a modest consistency premium. At the ~$47/batch target enabled by all three changes, a </w:t>
      </w:r>
      <w:r>
        <w:lastRenderedPageBreak/>
        <w:t>$150/batch price yields a 3× gross margin. At $100/batch, the customer saves $30/batch versus human QA and the margin remains healthy.</w:t>
      </w:r>
    </w:p>
    <w:p w14:paraId="24709D92" w14:textId="77777777" w:rsidR="00EB3633" w:rsidRDefault="00000000">
      <w:pPr>
        <w:pStyle w:val="Heading2"/>
      </w:pPr>
      <w:r>
        <w:rPr>
          <w:sz w:val="24"/>
        </w:rPr>
        <w:t>Deployment Cost</w:t>
      </w:r>
    </w:p>
    <w:p w14:paraId="0F59ABE8" w14:textId="77777777" w:rsidR="00EB3633" w:rsidRDefault="00000000">
      <w:r>
        <w:rPr>
          <w:b/>
        </w:rPr>
        <w:t xml:space="preserve">One organization (~25 batches/month): </w:t>
      </w:r>
      <w:r>
        <w:t>$165 × 25 = ~$4,100/month today; ~$1,175/month optimized.</w:t>
      </w:r>
    </w:p>
    <w:p w14:paraId="7E2489CA" w14:textId="77777777" w:rsidR="00EB3633" w:rsidRDefault="00000000">
      <w:r>
        <w:rPr>
          <w:b/>
        </w:rPr>
        <w:t xml:space="preserve">1,000 organizations: </w:t>
      </w:r>
      <w:r>
        <w:t>25,000 batches/month. ~$4.1M/month today; ~$1.2M/month optimized. Cache costs scale linearly — each organization’s session is independent, with no shared amortization of knowledge-base writes across tenants unless the architecture is redesigned.</w:t>
      </w:r>
    </w:p>
    <w:p w14:paraId="5AC71885" w14:textId="77777777" w:rsidR="00EB3633" w:rsidRDefault="00000000">
      <w:r>
        <w:rPr>
          <w:b/>
        </w:rPr>
        <w:t xml:space="preserve">1,000,000 organizations: </w:t>
      </w:r>
      <w:r>
        <w:t>$47/batch × 25M sessions/month = ~$1.2B/month — viable only with further cost reduction. Shared multi-tenant knowledge-base caching (amortizing the $33 per-session cache-write cost), lighter models for routine checks, and outcome-based pricing (per credit issued rather than per API call) could bring infrastructure cost to $5–$15/batch, supporting a $75–$100/batch price at scale.</w:t>
      </w:r>
    </w:p>
    <w:sectPr w:rsidR="00EB3633"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17314">
    <w:abstractNumId w:val="8"/>
  </w:num>
  <w:num w:numId="2" w16cid:durableId="1646931566">
    <w:abstractNumId w:val="6"/>
  </w:num>
  <w:num w:numId="3" w16cid:durableId="1953395116">
    <w:abstractNumId w:val="5"/>
  </w:num>
  <w:num w:numId="4" w16cid:durableId="928928028">
    <w:abstractNumId w:val="4"/>
  </w:num>
  <w:num w:numId="5" w16cid:durableId="1033531428">
    <w:abstractNumId w:val="7"/>
  </w:num>
  <w:num w:numId="6" w16cid:durableId="1446463509">
    <w:abstractNumId w:val="3"/>
  </w:num>
  <w:num w:numId="7" w16cid:durableId="1836070630">
    <w:abstractNumId w:val="2"/>
  </w:num>
  <w:num w:numId="8" w16cid:durableId="657735882">
    <w:abstractNumId w:val="1"/>
  </w:num>
  <w:num w:numId="9" w16cid:durableId="2016150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A54"/>
    <w:rsid w:val="00326F90"/>
    <w:rsid w:val="005C73BD"/>
    <w:rsid w:val="00645D17"/>
    <w:rsid w:val="007B3A4F"/>
    <w:rsid w:val="009D6AD8"/>
    <w:rsid w:val="009E23F0"/>
    <w:rsid w:val="00AA1D8D"/>
    <w:rsid w:val="00B47730"/>
    <w:rsid w:val="00C07B97"/>
    <w:rsid w:val="00CB0664"/>
    <w:rsid w:val="00D438E2"/>
    <w:rsid w:val="00EB36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F17FF"/>
  <w14:defaultImageDpi w14:val="300"/>
  <w15:docId w15:val="{70FD336D-2618-5145-9D5D-16E04BFE2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Bernard Lavine</cp:lastModifiedBy>
  <cp:revision>7</cp:revision>
  <dcterms:created xsi:type="dcterms:W3CDTF">2013-12-23T23:15:00Z</dcterms:created>
  <dcterms:modified xsi:type="dcterms:W3CDTF">2026-05-28T00:44:00Z</dcterms:modified>
  <cp:category/>
</cp:coreProperties>
</file>