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097EE1" w14:textId="77777777" w:rsidR="001B523B" w:rsidRDefault="00000000">
      <w:pPr>
        <w:spacing w:after="40"/>
      </w:pPr>
      <w:r>
        <w:rPr>
          <w:rFonts w:ascii="Calibri" w:hAnsi="Calibri"/>
          <w:b/>
          <w:color w:val="1F497D"/>
          <w:sz w:val="30"/>
        </w:rPr>
        <w:t>Embodied Emissions Amortization: Methodology and Module Compliance</w:t>
      </w:r>
    </w:p>
    <w:p w14:paraId="26554094" w14:textId="77777777" w:rsidR="001B523B" w:rsidRDefault="00000000">
      <w:pPr>
        <w:spacing w:after="0"/>
      </w:pPr>
      <w:r>
        <w:rPr>
          <w:rFonts w:ascii="Calibri" w:hAnsi="Calibri"/>
          <w:color w:val="555555"/>
          <w:sz w:val="20"/>
        </w:rPr>
        <w:t>Charm Industrial  ·  June 26, 2026</w:t>
      </w:r>
    </w:p>
    <w:p w14:paraId="2F9B2DA5" w14:textId="77777777" w:rsidR="001B523B" w:rsidRDefault="00000000">
      <w:pPr>
        <w:spacing w:after="40"/>
      </w:pPr>
      <w:r>
        <w:rPr>
          <w:rFonts w:ascii="Calibri" w:hAnsi="Calibri"/>
          <w:color w:val="555555"/>
          <w:sz w:val="20"/>
        </w:rPr>
        <w:t>Max Lavine, Carbon Protocol and Verification Lead  ·  max@charmindustrial.com</w:t>
      </w:r>
    </w:p>
    <w:p w14:paraId="6F32D3CA" w14:textId="77777777" w:rsidR="001B523B" w:rsidRDefault="00000000">
      <w:pPr>
        <w:spacing w:before="40" w:after="40"/>
      </w:pPr>
      <w:r>
        <w:rPr>
          <w:rFonts w:ascii="Calibri" w:hAnsi="Calibri"/>
          <w:color w:val="CCCCCC"/>
          <w:sz w:val="16"/>
        </w:rPr>
        <w:t>────────────────────────────────────────────────────────────────────────────────</w:t>
      </w:r>
    </w:p>
    <w:p w14:paraId="0BF3E176" w14:textId="77777777" w:rsidR="001B523B" w:rsidRDefault="00000000">
      <w:pPr>
        <w:spacing w:before="280" w:after="80"/>
      </w:pPr>
      <w:r>
        <w:rPr>
          <w:rFonts w:ascii="Calibri" w:hAnsi="Calibri"/>
          <w:b/>
          <w:color w:val="1F497D"/>
          <w:sz w:val="26"/>
        </w:rPr>
        <w:t>Purpose</w:t>
      </w:r>
    </w:p>
    <w:p w14:paraId="261D2B55" w14:textId="77777777" w:rsidR="001B523B" w:rsidRDefault="00000000">
      <w:pPr>
        <w:spacing w:after="120"/>
      </w:pPr>
      <w:r>
        <w:rPr>
          <w:rFonts w:ascii="Calibri" w:hAnsi="Calibri"/>
        </w:rPr>
        <w:t>This document describes Charm Industrial's embodied emissions amortization system and its basis in the Isometric GHG Accounting Module v1.1. It covers: the module's three amortization options and Charm's election; the per-asset tracking mechanics and portfolio-level monitoring; the periodic review and proactive notification framework; and the remedies available when actual CDR falls behind projection.</w:t>
      </w:r>
    </w:p>
    <w:p w14:paraId="48142FF3" w14:textId="77777777" w:rsidR="001B523B" w:rsidRDefault="00000000">
      <w:pPr>
        <w:spacing w:before="280" w:after="80"/>
      </w:pPr>
      <w:r>
        <w:rPr>
          <w:rFonts w:ascii="Calibri" w:hAnsi="Calibri"/>
          <w:b/>
          <w:color w:val="1F497D"/>
          <w:sz w:val="26"/>
        </w:rPr>
        <w:t>Module Framework: Amortization Options and Cap</w:t>
      </w:r>
    </w:p>
    <w:p w14:paraId="49804F79" w14:textId="77777777" w:rsidR="001B523B" w:rsidRDefault="00000000">
      <w:pPr>
        <w:spacing w:after="120"/>
      </w:pPr>
      <w:r>
        <w:rPr>
          <w:rFonts w:ascii="Calibri" w:hAnsi="Calibri"/>
        </w:rPr>
        <w:t>The GHG Accounting Module v1.1 permits emission amortization under three options:</w:t>
      </w:r>
    </w:p>
    <w:p w14:paraId="5A75B8C3" w14:textId="77777777" w:rsidR="001B523B" w:rsidRDefault="00000000">
      <w:pPr>
        <w:pStyle w:val="ListBullet"/>
        <w:spacing w:before="20" w:after="40"/>
      </w:pPr>
      <w:r>
        <w:rPr>
          <w:rFonts w:ascii="Calibri" w:hAnsi="Calibri"/>
        </w:rPr>
        <w:t>Option 1 — Single deduction: "As a single deduction from the first removal(s) verified."</w:t>
      </w:r>
    </w:p>
    <w:p w14:paraId="713DE894" w14:textId="77777777" w:rsidR="001B523B" w:rsidRDefault="00000000">
      <w:pPr>
        <w:pStyle w:val="ListBullet"/>
        <w:spacing w:before="20" w:after="40"/>
      </w:pPr>
      <w:r>
        <w:rPr>
          <w:rFonts w:ascii="Calibri" w:hAnsi="Calibri"/>
        </w:rPr>
        <w:t>Option 2 — Annual: "Over the anticipated Project lifetime as annual emissions, calculated as the total emissions to be amortized divided by the Project lifetime. Temporal allocations must include the replacement of any equipment or materials if expected component lifetime is shorter than the Project lifetime."</w:t>
      </w:r>
    </w:p>
    <w:p w14:paraId="6F106A80" w14:textId="77777777" w:rsidR="001B523B" w:rsidRDefault="00000000">
      <w:pPr>
        <w:pStyle w:val="ListBullet"/>
        <w:spacing w:before="20" w:after="40"/>
      </w:pPr>
      <w:r>
        <w:rPr>
          <w:rFonts w:ascii="Calibri" w:hAnsi="Calibri"/>
        </w:rPr>
        <w:t>Option 3 — Per tonne sequestered: "Per tonne of CO₂ sequestered, based on estimated total gross CO₂ sequestration over the Project lifetime. This approach enables amortization of emissions for Projects that account for total CO₂e removals on a batch basis. Project Proponents selecting this method must choose an amortization rate that, based on projected performance, can reasonably be expected to result in full allocation of all outstanding amortized emissions within the amortization cap."</w:t>
      </w:r>
    </w:p>
    <w:p w14:paraId="63D2B08D" w14:textId="77777777" w:rsidR="001B523B" w:rsidRDefault="00000000">
      <w:pPr>
        <w:spacing w:after="120"/>
      </w:pPr>
      <w:r>
        <w:rPr>
          <w:rFonts w:ascii="Calibri" w:hAnsi="Calibri"/>
        </w:rPr>
        <w:t>Charm uses Option 3. Removals are accounted for on a batch basis and embodied emissions are drawn down proportionally against each tonne of CDR produced.</w:t>
      </w:r>
    </w:p>
    <w:p w14:paraId="24CBFB66" w14:textId="77777777" w:rsidR="001B523B" w:rsidRDefault="00000000">
      <w:pPr>
        <w:spacing w:after="120"/>
      </w:pPr>
      <w:r>
        <w:rPr>
          <w:rFonts w:ascii="Calibri" w:hAnsi="Calibri"/>
        </w:rPr>
        <w:t>The module establishes the maximum amortization period:</w:t>
      </w:r>
    </w:p>
    <w:p w14:paraId="40783A4B" w14:textId="77777777" w:rsidR="001B523B" w:rsidRDefault="00000000">
      <w:pPr>
        <w:spacing w:before="80" w:after="80"/>
        <w:ind w:left="576" w:right="576"/>
      </w:pPr>
      <w:r>
        <w:rPr>
          <w:rFonts w:ascii="Calibri" w:hAnsi="Calibri"/>
          <w:i/>
          <w:color w:val="444444"/>
        </w:rPr>
        <w:t>"The maximum period over which emissions may be amortized (the 'amortization cap') is 20 years or the anticipated Project lifetime, whichever is shorter."</w:t>
      </w:r>
    </w:p>
    <w:p w14:paraId="5F611899" w14:textId="77777777" w:rsidR="001B523B" w:rsidRDefault="00000000">
      <w:pPr>
        <w:spacing w:after="120"/>
      </w:pPr>
      <w:r>
        <w:rPr>
          <w:rFonts w:ascii="Calibri" w:hAnsi="Calibri"/>
        </w:rPr>
        <w:t>Charm's current amortization schedules are set to a 5-year window per asset, well within the 20-year cap. The 5-year window starts from the date each asset entered service.</w:t>
      </w:r>
    </w:p>
    <w:p w14:paraId="2AF99F1E" w14:textId="77777777" w:rsidR="001B523B" w:rsidRDefault="00000000">
      <w:pPr>
        <w:spacing w:after="120"/>
      </w:pPr>
      <w:r>
        <w:rPr>
          <w:rFonts w:ascii="Calibri" w:hAnsi="Calibri"/>
        </w:rPr>
        <w:t>The module requires residual debt disclosure at every verification:</w:t>
      </w:r>
    </w:p>
    <w:p w14:paraId="455A0D34" w14:textId="77777777" w:rsidR="001B523B" w:rsidRDefault="00000000">
      <w:pPr>
        <w:spacing w:before="80" w:after="80"/>
        <w:ind w:left="576" w:right="576"/>
      </w:pPr>
      <w:r>
        <w:rPr>
          <w:rFonts w:ascii="Calibri" w:hAnsi="Calibri"/>
          <w:i/>
          <w:color w:val="444444"/>
        </w:rPr>
        <w:t>"Project Proponents choosing to amortize emissions must report the residual emission debt at every verification."</w:t>
      </w:r>
    </w:p>
    <w:p w14:paraId="2AB94C6C" w14:textId="77777777" w:rsidR="001B523B" w:rsidRDefault="00000000">
      <w:pPr>
        <w:spacing w:before="280" w:after="80"/>
      </w:pPr>
      <w:r>
        <w:rPr>
          <w:rFonts w:ascii="Calibri" w:hAnsi="Calibri"/>
          <w:b/>
          <w:color w:val="1F497D"/>
          <w:sz w:val="26"/>
        </w:rPr>
        <w:t>Charm's Implementation</w:t>
      </w:r>
    </w:p>
    <w:p w14:paraId="21B59E7B" w14:textId="77777777" w:rsidR="001B523B" w:rsidRDefault="00000000">
      <w:pPr>
        <w:spacing w:before="160" w:after="80"/>
      </w:pPr>
      <w:r>
        <w:rPr>
          <w:rFonts w:ascii="Calibri" w:hAnsi="Calibri"/>
          <w:b/>
          <w:color w:val="2E74B5"/>
        </w:rPr>
        <w:lastRenderedPageBreak/>
        <w:t>3.1  Asset Inventory</w:t>
      </w:r>
    </w:p>
    <w:p w14:paraId="4F8DA6F4" w14:textId="43F94BEF" w:rsidR="001B523B" w:rsidRDefault="00000000">
      <w:pPr>
        <w:spacing w:after="120"/>
      </w:pPr>
      <w:r>
        <w:rPr>
          <w:rFonts w:ascii="Calibri" w:hAnsi="Calibri"/>
        </w:rPr>
        <w:t xml:space="preserve">Charm maintains a </w:t>
      </w:r>
      <w:r w:rsidR="009365B9">
        <w:rPr>
          <w:rFonts w:ascii="Calibri" w:hAnsi="Calibri"/>
        </w:rPr>
        <w:t xml:space="preserve">regularly </w:t>
      </w:r>
      <w:r>
        <w:rPr>
          <w:rFonts w:ascii="Calibri" w:hAnsi="Calibri"/>
        </w:rPr>
        <w:t>updated inventory of all equipment and facility improvements that support project operations</w:t>
      </w:r>
      <w:r w:rsidR="009365B9">
        <w:rPr>
          <w:rFonts w:ascii="Calibri" w:hAnsi="Calibri"/>
        </w:rPr>
        <w:t>, combining and superseding legacy site-specific inventories</w:t>
      </w:r>
      <w:r>
        <w:rPr>
          <w:rFonts w:ascii="Calibri" w:hAnsi="Calibri"/>
        </w:rPr>
        <w:t>. Each asset is assigned a unique identifier (e.g., EE-CO-001) and characterized by:</w:t>
      </w:r>
    </w:p>
    <w:p w14:paraId="084AC96B" w14:textId="77777777" w:rsidR="001B523B" w:rsidRDefault="00000000">
      <w:pPr>
        <w:pStyle w:val="ListBullet"/>
        <w:spacing w:before="20" w:after="40"/>
      </w:pPr>
      <w:r>
        <w:rPr>
          <w:rFonts w:ascii="Calibri" w:hAnsi="Calibri"/>
        </w:rPr>
        <w:t>Total GWP (kg CO₂e) — the full embodied emissions of the asset, quantified via LCA using GREET, EcoInvent, NAICS EEIO, USLCI, ICE, and/or the Athena Impact Estimator as applicable.</w:t>
      </w:r>
    </w:p>
    <w:p w14:paraId="381DBB21" w14:textId="77777777" w:rsidR="001B523B" w:rsidRDefault="00000000">
      <w:pPr>
        <w:pStyle w:val="ListBullet"/>
        <w:spacing w:before="20" w:after="40"/>
      </w:pPr>
      <w:r>
        <w:rPr>
          <w:rFonts w:ascii="Calibri" w:hAnsi="Calibri"/>
        </w:rPr>
        <w:t>Drawn to Date (kg) — the cumulative amount allocated to CDR across all prior reporting periods.</w:t>
      </w:r>
    </w:p>
    <w:p w14:paraId="67A0AFBC" w14:textId="77777777" w:rsidR="001B523B" w:rsidRDefault="00000000">
      <w:pPr>
        <w:pStyle w:val="ListBullet"/>
        <w:spacing w:before="20" w:after="40"/>
      </w:pPr>
      <w:r>
        <w:rPr>
          <w:rFonts w:ascii="Calibri" w:hAnsi="Calibri"/>
        </w:rPr>
        <w:t>Remaining GWP (kg) — the balance yet to be allocated (Total GWP minus Drawn to Date).</w:t>
      </w:r>
    </w:p>
    <w:p w14:paraId="1A82BBD5" w14:textId="77777777" w:rsidR="001B523B" w:rsidRDefault="00000000">
      <w:pPr>
        <w:pStyle w:val="ListBullet"/>
        <w:spacing w:before="20" w:after="40"/>
      </w:pPr>
      <w:r>
        <w:rPr>
          <w:rFonts w:ascii="Calibri" w:hAnsi="Calibri"/>
        </w:rPr>
        <w:t>5-Year Window Close date — the date by which remaining GWP must be fully allocated under the current schedule.</w:t>
      </w:r>
    </w:p>
    <w:p w14:paraId="246C8983" w14:textId="77777777" w:rsidR="001B523B" w:rsidRDefault="00000000">
      <w:pPr>
        <w:pStyle w:val="ListBullet"/>
        <w:spacing w:before="20" w:after="40"/>
      </w:pPr>
      <w:r>
        <w:rPr>
          <w:rFonts w:ascii="Calibri" w:hAnsi="Calibri"/>
        </w:rPr>
        <w:t>CDR in Window (MT projected) — total projected gross CDR between the current snapshot date and the window close date, drawn from Charm's forward production schedule.</w:t>
      </w:r>
    </w:p>
    <w:p w14:paraId="72E423BB" w14:textId="77777777" w:rsidR="001B523B" w:rsidRDefault="00000000">
      <w:pPr>
        <w:pStyle w:val="ListBullet"/>
        <w:spacing w:before="20" w:after="40"/>
      </w:pPr>
      <w:r>
        <w:rPr>
          <w:rFonts w:ascii="Calibri" w:hAnsi="Calibri"/>
        </w:rPr>
        <w:t>Status — whether the asset is on-track, disposed, or decommissioned.</w:t>
      </w:r>
    </w:p>
    <w:p w14:paraId="4B55ED31" w14:textId="77777777" w:rsidR="001B523B" w:rsidRDefault="00000000">
      <w:pPr>
        <w:spacing w:before="160" w:after="80"/>
      </w:pPr>
      <w:proofErr w:type="gramStart"/>
      <w:r>
        <w:rPr>
          <w:rFonts w:ascii="Calibri" w:hAnsi="Calibri"/>
          <w:b/>
          <w:color w:val="2E74B5"/>
        </w:rPr>
        <w:t>3.2  Per</w:t>
      </w:r>
      <w:proofErr w:type="gramEnd"/>
      <w:r>
        <w:rPr>
          <w:rFonts w:ascii="Calibri" w:hAnsi="Calibri"/>
          <w:b/>
          <w:color w:val="2E74B5"/>
        </w:rPr>
        <w:t>-Asset Rate Calculation</w:t>
      </w:r>
    </w:p>
    <w:p w14:paraId="3A794FF6" w14:textId="77777777" w:rsidR="001B523B" w:rsidRDefault="00000000">
      <w:pPr>
        <w:spacing w:after="120"/>
      </w:pPr>
      <w:r>
        <w:rPr>
          <w:rFonts w:ascii="Calibri" w:hAnsi="Calibri"/>
        </w:rPr>
        <w:t>For each asset, the amortization rate is:</w:t>
      </w:r>
    </w:p>
    <w:p w14:paraId="5AFD5E11" w14:textId="77777777" w:rsidR="001B523B" w:rsidRDefault="00000000">
      <w:pPr>
        <w:spacing w:after="120"/>
        <w:ind w:left="576"/>
      </w:pPr>
      <w:r>
        <w:rPr>
          <w:rFonts w:ascii="Calibri" w:hAnsi="Calibri"/>
          <w:b/>
        </w:rPr>
        <w:t>Rate (kg/MT CDR)  =  Remaining GWP (kg)  ÷  CDR in Window (MT)</w:t>
      </w:r>
    </w:p>
    <w:p w14:paraId="450E99E0" w14:textId="4BEACBE9" w:rsidR="001B523B" w:rsidRDefault="00000000">
      <w:pPr>
        <w:spacing w:after="120"/>
      </w:pPr>
      <w:r>
        <w:rPr>
          <w:rFonts w:ascii="Calibri" w:hAnsi="Calibri"/>
        </w:rPr>
        <w:t xml:space="preserve">This rate represents the kilograms of embodied emissions drawn down per metric </w:t>
      </w:r>
      <w:proofErr w:type="spellStart"/>
      <w:r>
        <w:rPr>
          <w:rFonts w:ascii="Calibri" w:hAnsi="Calibri"/>
        </w:rPr>
        <w:t>tonne</w:t>
      </w:r>
      <w:proofErr w:type="spellEnd"/>
      <w:r>
        <w:rPr>
          <w:rFonts w:ascii="Calibri" w:hAnsi="Calibri"/>
        </w:rPr>
        <w:t xml:space="preserve"> of </w:t>
      </w:r>
      <w:r w:rsidR="009365B9">
        <w:rPr>
          <w:rFonts w:ascii="Calibri" w:hAnsi="Calibri"/>
        </w:rPr>
        <w:t xml:space="preserve">gross </w:t>
      </w:r>
      <w:r>
        <w:rPr>
          <w:rFonts w:ascii="Calibri" w:hAnsi="Calibri"/>
        </w:rPr>
        <w:t xml:space="preserve">CDR. Because CDR in Window is the total projected CDR between the snapshot date and each asset's window-close date, the rate is calibrated so that — if CDR hits projection — the remaining balance reaches zero by the window-close date. </w:t>
      </w:r>
    </w:p>
    <w:p w14:paraId="5C320F33" w14:textId="77777777" w:rsidR="001B523B" w:rsidRDefault="00000000">
      <w:pPr>
        <w:spacing w:after="120"/>
      </w:pPr>
      <w:r>
        <w:rPr>
          <w:rFonts w:ascii="Calibri" w:hAnsi="Calibri"/>
        </w:rPr>
        <w:t>The portfolio rate is the sum of all per-asset rates. As of the April 30, 2026 snapshot, the portfolio opening balance was 1,478,910 kg remaining across all assets, yielding a portfolio rate of 2.6815 kg/MT CDR.</w:t>
      </w:r>
    </w:p>
    <w:p w14:paraId="077DF5CA" w14:textId="77777777" w:rsidR="001B523B" w:rsidRDefault="00000000">
      <w:pPr>
        <w:spacing w:before="160" w:after="80"/>
      </w:pPr>
      <w:r>
        <w:rPr>
          <w:rFonts w:ascii="Calibri" w:hAnsi="Calibri"/>
          <w:b/>
          <w:color w:val="2E74B5"/>
        </w:rPr>
        <w:t>3.3  Monthly Monitor and Running Balance</w:t>
      </w:r>
    </w:p>
    <w:p w14:paraId="064B0D32" w14:textId="77777777" w:rsidR="001B523B" w:rsidRDefault="00000000">
      <w:pPr>
        <w:spacing w:after="120"/>
      </w:pPr>
      <w:r>
        <w:rPr>
          <w:rFonts w:ascii="Calibri" w:hAnsi="Calibri"/>
        </w:rPr>
        <w:t>At the portfolio level, Charm tracks amortization progress month by month against the five-year CDR projection. Each month records:</w:t>
      </w:r>
    </w:p>
    <w:p w14:paraId="0845DD3B" w14:textId="77777777" w:rsidR="001B523B" w:rsidRDefault="00000000">
      <w:pPr>
        <w:pStyle w:val="ListBullet"/>
        <w:spacing w:before="20" w:after="40"/>
      </w:pPr>
      <w:r>
        <w:rPr>
          <w:rFonts w:ascii="Calibri" w:hAnsi="Calibri"/>
        </w:rPr>
        <w:t>Scheduled CDR (MT) — from the production projection.</w:t>
      </w:r>
    </w:p>
    <w:p w14:paraId="7B44DE65" w14:textId="77777777" w:rsidR="001B523B" w:rsidRDefault="00000000">
      <w:pPr>
        <w:pStyle w:val="ListBullet"/>
        <w:spacing w:before="20" w:after="40"/>
      </w:pPr>
      <w:r>
        <w:rPr>
          <w:rFonts w:ascii="Calibri" w:hAnsi="Calibri"/>
        </w:rPr>
        <w:t>Actual CDR (MT) — filled in as each reporting period closes.</w:t>
      </w:r>
    </w:p>
    <w:p w14:paraId="1C14D137" w14:textId="77777777" w:rsidR="001B523B" w:rsidRDefault="00000000">
      <w:pPr>
        <w:pStyle w:val="ListBullet"/>
        <w:spacing w:before="20" w:after="40"/>
      </w:pPr>
      <w:r>
        <w:rPr>
          <w:rFonts w:ascii="Calibri" w:hAnsi="Calibri"/>
        </w:rPr>
        <w:t>Expected Draw (kg) — Scheduled CDR × portfolio rate.</w:t>
      </w:r>
    </w:p>
    <w:p w14:paraId="65AADC82" w14:textId="77777777" w:rsidR="001B523B" w:rsidRDefault="00000000">
      <w:pPr>
        <w:pStyle w:val="ListBullet"/>
        <w:spacing w:before="20" w:after="40"/>
      </w:pPr>
      <w:r>
        <w:rPr>
          <w:rFonts w:ascii="Calibri" w:hAnsi="Calibri"/>
        </w:rPr>
        <w:t>Actual Draw (kg) — Actual CDR × portfolio rate (populated when actuals are available).</w:t>
      </w:r>
    </w:p>
    <w:p w14:paraId="66DA4389" w14:textId="77777777" w:rsidR="001B523B" w:rsidRDefault="00000000">
      <w:pPr>
        <w:pStyle w:val="ListBullet"/>
        <w:spacing w:before="20" w:after="40"/>
      </w:pPr>
      <w:r>
        <w:rPr>
          <w:rFonts w:ascii="Calibri" w:hAnsi="Calibri"/>
        </w:rPr>
        <w:t>GWP Delta (kg) — Actual Draw minus Expected Draw: positive means ahead of schedule, negative means behind.</w:t>
      </w:r>
    </w:p>
    <w:p w14:paraId="5E5DD694" w14:textId="77777777" w:rsidR="001B523B" w:rsidRDefault="00000000">
      <w:pPr>
        <w:pStyle w:val="ListBullet"/>
        <w:spacing w:before="20" w:after="40"/>
      </w:pPr>
      <w:r>
        <w:rPr>
          <w:rFonts w:ascii="Calibri" w:hAnsi="Calibri"/>
        </w:rPr>
        <w:t>GWP Remaining (kg) — running balance starting from the opening balance, stepped down by actual draw when available and expected draw otherwise.</w:t>
      </w:r>
    </w:p>
    <w:p w14:paraId="50FDD69D" w14:textId="77777777" w:rsidR="001B523B" w:rsidRDefault="00000000">
      <w:pPr>
        <w:spacing w:after="120"/>
      </w:pPr>
      <w:r>
        <w:rPr>
          <w:rFonts w:ascii="Calibri" w:hAnsi="Calibri"/>
        </w:rPr>
        <w:lastRenderedPageBreak/>
        <w:t>The running balance and cumulative GWP Delta are the basis for the residual emission debt figure reported at each verification and for the annual review described in Section 4.</w:t>
      </w:r>
    </w:p>
    <w:p w14:paraId="351F1FA0" w14:textId="77777777" w:rsidR="001B523B" w:rsidRDefault="00000000">
      <w:pPr>
        <w:spacing w:before="280" w:after="80"/>
      </w:pPr>
      <w:r>
        <w:rPr>
          <w:rFonts w:ascii="Calibri" w:hAnsi="Calibri"/>
          <w:b/>
          <w:color w:val="1F497D"/>
          <w:sz w:val="26"/>
        </w:rPr>
        <w:t>Periodic Review and Proactive Notification</w:t>
      </w:r>
    </w:p>
    <w:p w14:paraId="060D07C2" w14:textId="77777777" w:rsidR="001B523B" w:rsidRDefault="00000000">
      <w:pPr>
        <w:spacing w:after="120"/>
      </w:pPr>
      <w:r>
        <w:rPr>
          <w:rFonts w:ascii="Calibri" w:hAnsi="Calibri"/>
        </w:rPr>
        <w:t>The module establishes two overlapping obligations for Option 3 amortization. First, a structured review at fixed verification intervals:</w:t>
      </w:r>
    </w:p>
    <w:p w14:paraId="3CEF4DA8" w14:textId="77777777" w:rsidR="001B523B" w:rsidRDefault="00000000">
      <w:pPr>
        <w:spacing w:before="80" w:after="80"/>
        <w:ind w:left="576" w:right="576"/>
      </w:pPr>
      <w:r>
        <w:rPr>
          <w:rFonts w:ascii="Calibri" w:hAnsi="Calibri"/>
          <w:i/>
          <w:color w:val="444444"/>
        </w:rPr>
        <w:t>"Where emissions are amortized over the Project lifetime (option 2) or tonne of CO₂ sequestered (option 3), this must be reviewed as part of verification at the end of year 1, year 3, year 5, and at each subsequent Crediting Period renewal. These reviews must include assessment of whether, based on actual and projected performance, full allocation of all amortized emissions within the amortization cap remains reasonably expected. Where necessary, the Project VVB may require adjustments to the amortization schedule to restore reasonable expectation of full allocation within the amortization cap."</w:t>
      </w:r>
    </w:p>
    <w:p w14:paraId="4382F801" w14:textId="06B5FCAC" w:rsidR="001B523B" w:rsidRDefault="00000000">
      <w:pPr>
        <w:spacing w:after="120"/>
      </w:pPr>
      <w:r>
        <w:rPr>
          <w:rFonts w:ascii="Calibri" w:hAnsi="Calibri"/>
        </w:rPr>
        <w:t>Second, a notification obligation triggered as soon as non-compliance is identified:</w:t>
      </w:r>
    </w:p>
    <w:p w14:paraId="12710D44" w14:textId="77777777" w:rsidR="001B523B" w:rsidRDefault="00000000">
      <w:pPr>
        <w:spacing w:before="80" w:after="80"/>
        <w:ind w:left="576" w:right="576"/>
      </w:pPr>
      <w:r>
        <w:rPr>
          <w:rFonts w:ascii="Calibri" w:hAnsi="Calibri"/>
          <w:i/>
          <w:color w:val="444444"/>
        </w:rPr>
        <w:t>"If the Project Proponent is not able to comply with the allocation schedule described in the PDD, for example due to changes in delivered volume or anticipated Project lifetime, the Project Proponent must notify Isometric as soon as the change is identified in order to adjust the allocation schedule for future removals."</w:t>
      </w:r>
    </w:p>
    <w:p w14:paraId="1616A772" w14:textId="77777777" w:rsidR="001B523B" w:rsidRDefault="00000000">
      <w:pPr>
        <w:spacing w:after="120"/>
      </w:pPr>
      <w:r>
        <w:rPr>
          <w:rFonts w:ascii="Calibri" w:hAnsi="Calibri"/>
        </w:rPr>
        <w:t>Charm fulfills both obligations through an annual systemic review, more frequent than the module's minimum Year 1/3/5 cadence. Each annual review consists of four steps:</w:t>
      </w:r>
    </w:p>
    <w:p w14:paraId="7E228DA9" w14:textId="77777777" w:rsidR="001B523B" w:rsidRDefault="00000000">
      <w:pPr>
        <w:pStyle w:val="ListBullet"/>
        <w:spacing w:before="20" w:after="40"/>
      </w:pPr>
      <w:r>
        <w:rPr>
          <w:rFonts w:ascii="Calibri" w:hAnsi="Calibri"/>
        </w:rPr>
        <w:t>Projection refresh — CDR projections are updated to reflect current operational outlook and any changes to the production schedule.</w:t>
      </w:r>
    </w:p>
    <w:p w14:paraId="0EA19704" w14:textId="77777777" w:rsidR="001B523B" w:rsidRDefault="00000000">
      <w:pPr>
        <w:pStyle w:val="ListBullet"/>
        <w:spacing w:before="20" w:after="40"/>
      </w:pPr>
      <w:r>
        <w:rPr>
          <w:rFonts w:ascii="Calibri" w:hAnsi="Calibri"/>
        </w:rPr>
        <w:t>Discrepancy calculation — cumulative GWP Delta is computed from the monthly monitor, quantifying the kg shortfall or surplus relative to the PDD schedule.</w:t>
      </w:r>
    </w:p>
    <w:p w14:paraId="682B2947" w14:textId="49D52EEE" w:rsidR="001B523B" w:rsidRDefault="00000000">
      <w:pPr>
        <w:pStyle w:val="ListBullet"/>
        <w:spacing w:before="20" w:after="40"/>
      </w:pPr>
      <w:r>
        <w:rPr>
          <w:rFonts w:ascii="Calibri" w:hAnsi="Calibri"/>
        </w:rPr>
        <w:t xml:space="preserve">Remedy selection — if a shortfall exists, Charm identifies which option(s) from Section 5 will be applied to </w:t>
      </w:r>
      <w:r w:rsidR="001D5628">
        <w:rPr>
          <w:rFonts w:ascii="Calibri" w:hAnsi="Calibri"/>
        </w:rPr>
        <w:t>ensure</w:t>
      </w:r>
      <w:r>
        <w:rPr>
          <w:rFonts w:ascii="Calibri" w:hAnsi="Calibri"/>
        </w:rPr>
        <w:t xml:space="preserve"> reasonable expectation of full allocation within the amortization cap.</w:t>
      </w:r>
    </w:p>
    <w:p w14:paraId="5ADB64CE" w14:textId="77777777" w:rsidR="001B523B" w:rsidRDefault="00000000">
      <w:pPr>
        <w:pStyle w:val="ListBullet"/>
        <w:spacing w:before="20" w:after="40"/>
      </w:pPr>
      <w:r>
        <w:rPr>
          <w:rFonts w:ascii="Calibri" w:hAnsi="Calibri"/>
        </w:rPr>
        <w:t>Reporting to Isometric — Charm reports the discrepancy level and the chosen remedy, satisfying the proactive notification obligation. If the schedule is on track, the review confirms this and no schedule adjustment is required.</w:t>
      </w:r>
    </w:p>
    <w:p w14:paraId="2DB70EC6" w14:textId="77777777" w:rsidR="001B523B" w:rsidRDefault="00000000">
      <w:pPr>
        <w:spacing w:after="120"/>
      </w:pPr>
      <w:r>
        <w:rPr>
          <w:rFonts w:ascii="Calibri" w:hAnsi="Calibri"/>
        </w:rPr>
        <w:t>Conducting this review annually — rather than waiting for a compliance trigger — ensures non-compliance with the PDD schedule is identified and reported as early as possible, consistent with the module's "as soon as the change is identified" standard.</w:t>
      </w:r>
    </w:p>
    <w:p w14:paraId="62BE96E6" w14:textId="77777777" w:rsidR="001B523B" w:rsidRDefault="00000000">
      <w:pPr>
        <w:spacing w:before="280" w:after="80"/>
      </w:pPr>
      <w:r>
        <w:rPr>
          <w:rFonts w:ascii="Calibri" w:hAnsi="Calibri"/>
          <w:b/>
          <w:color w:val="1F497D"/>
          <w:sz w:val="26"/>
        </w:rPr>
        <w:t>Remedies When Behind Schedule</w:t>
      </w:r>
    </w:p>
    <w:p w14:paraId="44AFCEA5" w14:textId="77777777" w:rsidR="001B523B" w:rsidRDefault="00000000">
      <w:pPr>
        <w:spacing w:after="120"/>
      </w:pPr>
      <w:r>
        <w:rPr>
          <w:rFonts w:ascii="Calibri" w:hAnsi="Calibri"/>
        </w:rPr>
        <w:t>The module explicitly permits adjustments when the projected allocation schedule proves unattainable:</w:t>
      </w:r>
    </w:p>
    <w:p w14:paraId="279768A9" w14:textId="77777777" w:rsidR="001B523B" w:rsidRDefault="00000000">
      <w:pPr>
        <w:spacing w:before="80" w:after="80"/>
        <w:ind w:left="576" w:right="576"/>
      </w:pPr>
      <w:r>
        <w:rPr>
          <w:rFonts w:ascii="Calibri" w:hAnsi="Calibri"/>
          <w:i/>
          <w:color w:val="444444"/>
        </w:rPr>
        <w:lastRenderedPageBreak/>
        <w:t>"Where initial estimates prove to be unattainable or unlikely, adjustments to the emissions allocation schedule are permitted. Emissions must be adjusted to subtract the amount already covered by Credits from earlier Reporting Periods, and the remaining emissions should be reassigned to future verifications. If significant changes occur in the emissions amortization schedule (for example, if the emission allocation to each Reporting Period was greatly underestimated) the acceptance of an updated emissions amortization schedule will be down to the Project VVB's discretion. The adjustment mechanism exists to maintain alignment between emissions allocation and actual project performance, ensuring accuracy and integrity in reporting."</w:t>
      </w:r>
    </w:p>
    <w:p w14:paraId="7696D144" w14:textId="77777777" w:rsidR="001B523B" w:rsidRDefault="00000000">
      <w:pPr>
        <w:spacing w:after="120"/>
      </w:pPr>
      <w:r>
        <w:rPr>
          <w:rFonts w:ascii="Calibri" w:hAnsi="Calibri"/>
        </w:rPr>
        <w:t>Three remedies are available, individually or in combination:</w:t>
      </w:r>
    </w:p>
    <w:p w14:paraId="12E70E8C" w14:textId="77777777" w:rsidR="001B523B" w:rsidRDefault="00000000">
      <w:pPr>
        <w:spacing w:before="160" w:after="80"/>
      </w:pPr>
      <w:r>
        <w:rPr>
          <w:rFonts w:ascii="Calibri" w:hAnsi="Calibri"/>
          <w:b/>
          <w:color w:val="2E74B5"/>
        </w:rPr>
        <w:t>Option A — Lump deduction from a subsequent reporting period</w:t>
      </w:r>
    </w:p>
    <w:p w14:paraId="4525D977" w14:textId="0A6ED5FC" w:rsidR="001B523B" w:rsidRDefault="00000000">
      <w:pPr>
        <w:spacing w:after="120"/>
      </w:pPr>
      <w:r>
        <w:rPr>
          <w:rFonts w:ascii="Calibri" w:hAnsi="Calibri"/>
        </w:rPr>
        <w:t>Accumulated debt is deducted as a site emission from one or more subsequent reporting periods. This option resolves the debt in the near term but concentrates the deduction in a single period, reducing net CDR for that period.</w:t>
      </w:r>
    </w:p>
    <w:p w14:paraId="58148471" w14:textId="77777777" w:rsidR="001B523B" w:rsidRDefault="00000000">
      <w:pPr>
        <w:spacing w:before="160" w:after="80"/>
      </w:pPr>
      <w:r>
        <w:rPr>
          <w:rFonts w:ascii="Calibri" w:hAnsi="Calibri"/>
          <w:b/>
          <w:color w:val="2E74B5"/>
        </w:rPr>
        <w:t>Option B — Raise the rate</w:t>
      </w:r>
    </w:p>
    <w:p w14:paraId="2629D791" w14:textId="77777777" w:rsidR="001B523B" w:rsidRDefault="00000000">
      <w:pPr>
        <w:spacing w:after="120"/>
      </w:pPr>
      <w:r>
        <w:rPr>
          <w:rFonts w:ascii="Calibri" w:hAnsi="Calibri"/>
        </w:rPr>
        <w:t>The per-asset rate is recalculated using the updated remaining balance and the updated CDR projection for the remaining window. A higher rate distributes the catch-up over future production rather than concentrating it in one period. This is a standard adjustment to the amortization schedule under the module.</w:t>
      </w:r>
    </w:p>
    <w:p w14:paraId="2E3F9A76" w14:textId="77777777" w:rsidR="001B523B" w:rsidRDefault="00000000">
      <w:pPr>
        <w:spacing w:before="160" w:after="80"/>
      </w:pPr>
      <w:r>
        <w:rPr>
          <w:rFonts w:ascii="Calibri" w:hAnsi="Calibri"/>
          <w:b/>
          <w:color w:val="2E74B5"/>
        </w:rPr>
        <w:t>Option C — Extend the window</w:t>
      </w:r>
    </w:p>
    <w:p w14:paraId="591570F7" w14:textId="1A1C1BC0" w:rsidR="001B523B" w:rsidRDefault="00000000">
      <w:pPr>
        <w:spacing w:after="120"/>
      </w:pPr>
      <w:r>
        <w:rPr>
          <w:rFonts w:ascii="Calibri" w:hAnsi="Calibri"/>
        </w:rPr>
        <w:t>The window-close date is extended beyond 5 years, up to the 20-year amortization cap. Extending the window increases CDR in Window (the denominator), lowers the rate, and provides more production runway to absorb the balance. This option is available because Charm's current 5-year election is a voluntary constraint, not a floor imposed by the module. The module sets only a ceiling of 20 year</w:t>
      </w:r>
      <w:r w:rsidR="00CA62FD">
        <w:rPr>
          <w:rFonts w:ascii="Calibri" w:hAnsi="Calibri"/>
        </w:rPr>
        <w:t>s</w:t>
      </w:r>
      <w:r>
        <w:rPr>
          <w:rFonts w:ascii="Calibri" w:hAnsi="Calibri"/>
        </w:rPr>
        <w:t>.</w:t>
      </w:r>
    </w:p>
    <w:p w14:paraId="269B943D" w14:textId="43615F87" w:rsidR="001B523B" w:rsidRDefault="00000000">
      <w:pPr>
        <w:spacing w:after="120"/>
      </w:pPr>
      <w:r>
        <w:rPr>
          <w:rFonts w:ascii="Calibri" w:hAnsi="Calibri"/>
        </w:rPr>
        <w:t>The chosen remedy or combination is reported to Isometric as part of the annual review.</w:t>
      </w:r>
    </w:p>
    <w:sectPr w:rsidR="001B523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7814748">
    <w:abstractNumId w:val="8"/>
  </w:num>
  <w:num w:numId="2" w16cid:durableId="1512446806">
    <w:abstractNumId w:val="6"/>
  </w:num>
  <w:num w:numId="3" w16cid:durableId="1954700694">
    <w:abstractNumId w:val="5"/>
  </w:num>
  <w:num w:numId="4" w16cid:durableId="1988853457">
    <w:abstractNumId w:val="4"/>
  </w:num>
  <w:num w:numId="5" w16cid:durableId="2142722272">
    <w:abstractNumId w:val="7"/>
  </w:num>
  <w:num w:numId="6" w16cid:durableId="1629626778">
    <w:abstractNumId w:val="3"/>
  </w:num>
  <w:num w:numId="7" w16cid:durableId="980037044">
    <w:abstractNumId w:val="2"/>
  </w:num>
  <w:num w:numId="8" w16cid:durableId="307788837">
    <w:abstractNumId w:val="1"/>
  </w:num>
  <w:num w:numId="9" w16cid:durableId="12584452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24A"/>
    <w:rsid w:val="0015074B"/>
    <w:rsid w:val="001B523B"/>
    <w:rsid w:val="001D5628"/>
    <w:rsid w:val="0029639D"/>
    <w:rsid w:val="00326F90"/>
    <w:rsid w:val="00327C61"/>
    <w:rsid w:val="009365B9"/>
    <w:rsid w:val="00AA1D8D"/>
    <w:rsid w:val="00B47730"/>
    <w:rsid w:val="00CA62FD"/>
    <w:rsid w:val="00CB0664"/>
    <w:rsid w:val="00FA02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7380BC"/>
  <w14:defaultImageDpi w14:val="300"/>
  <w15:docId w15:val="{2D8BC88D-36B6-894D-AA8E-4651F33CC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Pages>
  <Words>1389</Words>
  <Characters>7922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Bernard Lavine</cp:lastModifiedBy>
  <cp:revision>2</cp:revision>
  <dcterms:created xsi:type="dcterms:W3CDTF">2013-12-23T23:15:00Z</dcterms:created>
  <dcterms:modified xsi:type="dcterms:W3CDTF">2026-06-26T22:18:00Z</dcterms:modified>
  <cp:category/>
</cp:coreProperties>
</file>