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287EB0" w14:textId="77777777" w:rsidR="0007001A" w:rsidRDefault="0007001A">
      <w:r>
        <w:t>CHARM INDUSTRIAL | Confidential</w:t>
      </w:r>
    </w:p>
    <w:p w14:paraId="0390ECC0" w14:textId="77777777" w:rsidR="0007001A" w:rsidRDefault="0007001A"/>
    <w:p w14:paraId="69D727D0" w14:textId="77777777" w:rsidR="0007001A" w:rsidRDefault="0007001A">
      <w:r>
        <w:t>CHARM INDUSTRIAL</w:t>
      </w:r>
    </w:p>
    <w:p w14:paraId="7E1F3AE3" w14:textId="77777777" w:rsidR="0007001A" w:rsidRDefault="0007001A">
      <w:r>
        <w:t>Biochar Storage in Soil Environments v1.2 — Implementation Pre-Confirmation</w:t>
      </w:r>
    </w:p>
    <w:p w14:paraId="0F231EFD" w14:textId="77777777" w:rsidR="0007001A" w:rsidRDefault="0007001A"/>
    <w:p w14:paraId="51688170" w14:textId="77777777" w:rsidR="0007001A" w:rsidRDefault="0007001A">
      <w:r>
        <w:t>Purpose</w:t>
      </w:r>
    </w:p>
    <w:p w14:paraId="313A8200" w14:textId="77777777" w:rsidR="0007001A" w:rsidRDefault="0007001A"/>
    <w:p w14:paraId="2C9A0B73" w14:textId="77777777" w:rsidR="0007001A" w:rsidRDefault="0007001A">
      <w:r>
        <w:t>Following our closeout of the v1.2 review, Charm is moving into implementation ahead of the next biochar reporting period. As we work through the PDD update against the v1.2 module text, three items would benefit from your confirmation before the VVB sees them. Bundling here so we can move efficiently rather than running three separate threads.</w:t>
      </w:r>
    </w:p>
    <w:p w14:paraId="2CB5FF43" w14:textId="77777777" w:rsidR="0007001A" w:rsidRDefault="0007001A"/>
    <w:p w14:paraId="5D0E87ED" w14:textId="77777777" w:rsidR="0007001A" w:rsidRDefault="0007001A">
      <w:r>
        <w:t>1. PAH testing carve-out (§3.3)</w:t>
      </w:r>
    </w:p>
    <w:p w14:paraId="11818018" w14:textId="77777777" w:rsidR="0007001A" w:rsidRDefault="0007001A"/>
    <w:p w14:paraId="301BC8E6" w14:textId="77777777" w:rsidR="0007001A" w:rsidRDefault="0007001A">
      <w:r>
        <w:t>Module §3.3 (Table 2 footnote) provides that PAH testing is required "unless sufficient risk mitigation can be carried out" through high-tech, continuous production processes — including (</w:t>
      </w:r>
      <w:proofErr w:type="spellStart"/>
      <w:r>
        <w:t>i</w:t>
      </w:r>
      <w:proofErr w:type="spellEnd"/>
      <w:r>
        <w:t>) sufficiently high pyrolysis temperature for thermal cracking of PAHs, (ii) reactor design choices such as increased residence time or thermal destruct units, (iii) post-pyrolysis treatment, and (iv) prior evidence of the same production process producing acceptably low PAH concentrations.</w:t>
      </w:r>
    </w:p>
    <w:p w14:paraId="34F6F187" w14:textId="77777777" w:rsidR="0007001A" w:rsidRDefault="0007001A"/>
    <w:p w14:paraId="009C96F2" w14:textId="77777777" w:rsidR="0007001A" w:rsidRDefault="0007001A">
      <w:r>
        <w:t>Charm's process meets multiple of these:</w:t>
      </w:r>
    </w:p>
    <w:p w14:paraId="12577FA8" w14:textId="77777777" w:rsidR="0007001A" w:rsidRDefault="0007001A"/>
    <w:p w14:paraId="41C91D49" w14:textId="77777777" w:rsidR="0007001A" w:rsidRDefault="0007001A">
      <w:r>
        <w:t xml:space="preserve">- Pyrolysis temperature is automatically maintained above 500°C with continuous </w:t>
      </w:r>
      <w:proofErr w:type="spellStart"/>
      <w:r>
        <w:t>tailgas</w:t>
      </w:r>
      <w:proofErr w:type="spellEnd"/>
      <w:r>
        <w:t xml:space="preserve"> evacuation, both of which prevent PAH condensation onto biochar within the reactor. (Charm PDD Appendix 11, "Pollution Prevention.")</w:t>
      </w:r>
    </w:p>
    <w:p w14:paraId="5B7542E9" w14:textId="77777777" w:rsidR="0007001A" w:rsidRDefault="0007001A">
      <w:r>
        <w:t>- Charm uses exclusively softwood feedstock harvested from Colorado forests under wildfire mitigation programs — a feedstock with documented low organic-contaminant precursor potential, consistent with NRCS guidance.</w:t>
      </w:r>
    </w:p>
    <w:p w14:paraId="3C94CE85" w14:textId="77777777" w:rsidR="0007001A" w:rsidRDefault="0007001A">
      <w:r>
        <w:lastRenderedPageBreak/>
        <w:t>- Prior PAH testing evidence is in hand. BSK Associates (NELAP-accredited under EPA method 8270E) returned 15 of 16 priority PAHs below the 200 µg/kg reporting limit; the remaining analyte (naphthalene) was 250 µg/kg. Under a conservative bioavailability assumption (100%) the biochar still meets the US EPA low-risk threshold for soil amendments.</w:t>
      </w:r>
    </w:p>
    <w:p w14:paraId="33C3910B" w14:textId="77777777" w:rsidR="0007001A" w:rsidRDefault="0007001A"/>
    <w:p w14:paraId="70A02CD5" w14:textId="77777777" w:rsidR="0007001A" w:rsidRDefault="0007001A">
      <w:r>
        <w:t>Ask: Confirm Charm may invoke the §3.3 mitigation pathway and document PAH content via initial validation testing plus the prior-process evidence above, rather than treating PAH testing as a per-batch required parameter going forward. We will document the carve-out and its technical basis in the v1.2 Appendix 11 rewrite.</w:t>
      </w:r>
    </w:p>
    <w:p w14:paraId="4BE4DF6A" w14:textId="77777777" w:rsidR="0007001A" w:rsidRDefault="0007001A"/>
    <w:p w14:paraId="265BBEE6" w14:textId="77777777" w:rsidR="0007001A" w:rsidRDefault="0007001A">
      <w:r>
        <w:t>2. Soil temperature methodology (§5.1.2.2.1)</w:t>
      </w:r>
    </w:p>
    <w:p w14:paraId="28B74BC8" w14:textId="77777777" w:rsidR="0007001A" w:rsidRDefault="0007001A"/>
    <w:p w14:paraId="1AE30369" w14:textId="77777777" w:rsidR="0007001A" w:rsidRDefault="0007001A">
      <w:r>
        <w:t xml:space="preserve">Option 1 (200-year durability) requires </w:t>
      </w:r>
      <w:proofErr w:type="spellStart"/>
      <w:r>
        <w:t>Tsoil</w:t>
      </w:r>
      <w:proofErr w:type="spellEnd"/>
      <w:r>
        <w:t xml:space="preserve"> either from project-specific monthly measurements (≥10 per site-month, full year, ISO 4974) or from a justified pull from a global database (</w:t>
      </w:r>
      <w:proofErr w:type="spellStart"/>
      <w:r>
        <w:t>Lembrechts</w:t>
      </w:r>
      <w:proofErr w:type="spellEnd"/>
      <w:r>
        <w:t xml:space="preserve"> et al. 2022 or equivalent). Air temperature is explicitly not acceptable as a proxy. Module also specifies a conservative 7°C floor and a 1°C-variability rule for project-boundary subdivision.</w:t>
      </w:r>
    </w:p>
    <w:p w14:paraId="12069F20" w14:textId="77777777" w:rsidR="0007001A" w:rsidRDefault="0007001A"/>
    <w:p w14:paraId="23134925" w14:textId="77777777" w:rsidR="0007001A" w:rsidRDefault="0007001A">
      <w:r>
        <w:t xml:space="preserve">Charm's distributed </w:t>
      </w:r>
      <w:proofErr w:type="spellStart"/>
      <w:r>
        <w:t>offtaker</w:t>
      </w:r>
      <w:proofErr w:type="spellEnd"/>
      <w:r>
        <w:t xml:space="preserve"> network — and the unpredictability of where individual deliveries will land — makes site-specific monthly soil-temperature campaigns operationally unworkable. A site that receives a single delivery in a given crediting cycle does not justify a year of pre-deployment instrumentation.</w:t>
      </w:r>
    </w:p>
    <w:p w14:paraId="35E9E4F6" w14:textId="77777777" w:rsidR="0007001A" w:rsidRDefault="0007001A"/>
    <w:p w14:paraId="69018702" w14:textId="77777777" w:rsidR="0007001A" w:rsidRDefault="0007001A">
      <w:r>
        <w:t xml:space="preserve">Proposal: Charm will use </w:t>
      </w:r>
      <w:proofErr w:type="spellStart"/>
      <w:r>
        <w:t>Lembrechts</w:t>
      </w:r>
      <w:proofErr w:type="spellEnd"/>
      <w:r>
        <w:t xml:space="preserve"> et al. (2022) (or an equivalent ISIMIP / </w:t>
      </w:r>
      <w:proofErr w:type="spellStart"/>
      <w:r>
        <w:t>SoilTemp</w:t>
      </w:r>
      <w:proofErr w:type="spellEnd"/>
      <w:r>
        <w:t xml:space="preserve"> dataset to be agreed) as the basis for </w:t>
      </w:r>
      <w:proofErr w:type="spellStart"/>
      <w:r>
        <w:t>Tsoil</w:t>
      </w:r>
      <w:proofErr w:type="spellEnd"/>
      <w:r>
        <w:t xml:space="preserve">, identifying the spatially specific record nearest each application site. Charm will document the chosen dataset, region selection, and the resulting </w:t>
      </w:r>
      <w:proofErr w:type="spellStart"/>
      <w:r>
        <w:t>Tsoil</w:t>
      </w:r>
      <w:proofErr w:type="spellEnd"/>
      <w:r>
        <w:t xml:space="preserve"> per project boundary in the GHG Statement, applying the 7°C floor and the 1°C boundary subdivision rule as written. Where </w:t>
      </w:r>
      <w:proofErr w:type="spellStart"/>
      <w:r>
        <w:t>Tsoil</w:t>
      </w:r>
      <w:proofErr w:type="spellEnd"/>
      <w:r>
        <w:t xml:space="preserve"> within a </w:t>
      </w:r>
      <w:proofErr w:type="gramStart"/>
      <w:r>
        <w:t>project boundary spans</w:t>
      </w:r>
      <w:proofErr w:type="gramEnd"/>
      <w:r>
        <w:t xml:space="preserve"> more than 1°C, Charm will either subdivide the boundary or use the highest temperature in the range.</w:t>
      </w:r>
    </w:p>
    <w:p w14:paraId="7AA5492A" w14:textId="77777777" w:rsidR="0007001A" w:rsidRDefault="0007001A"/>
    <w:p w14:paraId="31F4D09C" w14:textId="77777777" w:rsidR="0007001A" w:rsidRDefault="0007001A">
      <w:r>
        <w:lastRenderedPageBreak/>
        <w:t xml:space="preserve">Ask: Confirm this approach is </w:t>
      </w:r>
      <w:proofErr w:type="gramStart"/>
      <w:r>
        <w:t>acceptable, and</w:t>
      </w:r>
      <w:proofErr w:type="gramEnd"/>
      <w:r>
        <w:t xml:space="preserve"> confirm </w:t>
      </w:r>
      <w:proofErr w:type="spellStart"/>
      <w:r>
        <w:t>Lembrechts</w:t>
      </w:r>
      <w:proofErr w:type="spellEnd"/>
      <w:r>
        <w:t xml:space="preserve"> et al. (2022) is your preferred source (or name an alternative if you have one).</w:t>
      </w:r>
    </w:p>
    <w:p w14:paraId="17F3D05C" w14:textId="77777777" w:rsidR="0007001A" w:rsidRDefault="0007001A"/>
    <w:p w14:paraId="7F8D0B2C" w14:textId="77777777" w:rsidR="0007001A" w:rsidRDefault="0007001A">
      <w:r>
        <w:t>3. Lab accreditation (§3.1, §4.1.2)</w:t>
      </w:r>
    </w:p>
    <w:p w14:paraId="60F28833" w14:textId="77777777" w:rsidR="0007001A" w:rsidRDefault="0007001A"/>
    <w:p w14:paraId="535FF80C" w14:textId="77777777" w:rsidR="0007001A" w:rsidRDefault="0007001A">
      <w:r>
        <w:t>Module requires that all analytical laboratories conform to ISO 17025 or equivalent, or, where they do not, that "periodic external validation must be undertaken with an accredited facility…agreed with Isometric on a case-by-case basis."</w:t>
      </w:r>
    </w:p>
    <w:p w14:paraId="23BBD74D" w14:textId="77777777" w:rsidR="0007001A" w:rsidRDefault="0007001A"/>
    <w:p w14:paraId="783F70DF" w14:textId="77777777" w:rsidR="0007001A" w:rsidRDefault="0007001A">
      <w:r>
        <w:t>Charm's current panel:</w:t>
      </w:r>
    </w:p>
    <w:p w14:paraId="34DA1B4A" w14:textId="77777777" w:rsidR="0007001A" w:rsidRDefault="0007001A"/>
    <w:p w14:paraId="2E55BE86" w14:textId="77777777" w:rsidR="0007001A" w:rsidRDefault="0007001A">
      <w:r>
        <w:t>- Eurofins (PCBs, PCDD/F) — ISO 17025 accredited under DIN EN ISO/IEC 17025:2018 (</w:t>
      </w:r>
      <w:proofErr w:type="spellStart"/>
      <w:r>
        <w:t>DAkkS</w:t>
      </w:r>
      <w:proofErr w:type="spellEnd"/>
      <w:r>
        <w:t xml:space="preserve"> D-PL-14081 / D-PL-14629).</w:t>
      </w:r>
    </w:p>
    <w:p w14:paraId="2A7AEFF3" w14:textId="77777777" w:rsidR="0007001A" w:rsidRDefault="0007001A">
      <w:r>
        <w:t>- BSK Associates (PAHs via EPA 8270E) — NELAP-accredited (the EPA-recognized US equivalent of ISO 17025 for environmental analytes).</w:t>
      </w:r>
    </w:p>
    <w:p w14:paraId="49540BE0" w14:textId="77777777" w:rsidR="0007001A" w:rsidRDefault="0007001A">
      <w:r>
        <w:t>- Soil Control Labs (proximate/ultimate analysis: total C, H, O, moisture, ash, VMC, H/</w:t>
      </w:r>
      <w:proofErr w:type="spellStart"/>
      <w:r>
        <w:t>Corg</w:t>
      </w:r>
      <w:proofErr w:type="spellEnd"/>
      <w:r>
        <w:t>, O/</w:t>
      </w:r>
      <w:proofErr w:type="spellStart"/>
      <w:r>
        <w:t>Corg</w:t>
      </w:r>
      <w:proofErr w:type="spellEnd"/>
      <w:r>
        <w:t>) — Charm has SCL's published SOPs and QA/QC procedures for each analyte but is reconfirming SCL's ISO 17025 status for our specific test methods.</w:t>
      </w:r>
    </w:p>
    <w:p w14:paraId="38587EF8" w14:textId="77777777" w:rsidR="0007001A" w:rsidRDefault="0007001A"/>
    <w:p w14:paraId="360BCDD4" w14:textId="77777777" w:rsidR="0007001A" w:rsidRDefault="0007001A">
      <w:r>
        <w:t>Two paths forward depending on what we find:</w:t>
      </w:r>
    </w:p>
    <w:p w14:paraId="7DE420C5" w14:textId="77777777" w:rsidR="0007001A" w:rsidRDefault="0007001A"/>
    <w:p w14:paraId="33CA0ED7" w14:textId="77777777" w:rsidR="0007001A" w:rsidRDefault="0007001A">
      <w:r>
        <w:t>(a) If SCL holds ISO 17025 for our test methods, we'll document the accreditation in the PDD and the issue is closed.</w:t>
      </w:r>
    </w:p>
    <w:p w14:paraId="69A82FE2" w14:textId="77777777" w:rsidR="0007001A" w:rsidRDefault="0007001A"/>
    <w:p w14:paraId="7441F2E0" w14:textId="77777777" w:rsidR="0007001A" w:rsidRDefault="0007001A">
      <w:r>
        <w:t>(b) If SCL does not hold ISO 17025 for one or more of the test methods, Charm will propose a periodic external-validation regime — periodic split-sample analysis at an ISO 17025-accredited reference laboratory at a frequency to be agreed (proposed: one validation set per crediting cycle). All ISO 17025 + NELAP-accredited analytes (Eurofins, BSK) would continue under their existing accreditation; only the SCL-handled analytes would be subject to the external-validation regime.</w:t>
      </w:r>
    </w:p>
    <w:p w14:paraId="210F6C4B" w14:textId="77777777" w:rsidR="0007001A" w:rsidRDefault="0007001A"/>
    <w:p w14:paraId="67BA48E5" w14:textId="77777777" w:rsidR="0007001A" w:rsidRDefault="0007001A">
      <w:r>
        <w:t xml:space="preserve">Ask: Confirm the path-b approach is acceptable in principle if SCL's accreditation does not fully cover our </w:t>
      </w:r>
      <w:proofErr w:type="gramStart"/>
      <w:r>
        <w:t>methods, and</w:t>
      </w:r>
      <w:proofErr w:type="gramEnd"/>
      <w:r>
        <w:t xml:space="preserve"> confirm one validation set per crediting cycle is the right frequency (or propose an alternative).</w:t>
      </w:r>
    </w:p>
    <w:p w14:paraId="708B5640" w14:textId="77777777" w:rsidR="0007001A" w:rsidRDefault="0007001A"/>
    <w:p w14:paraId="2C78C605" w14:textId="77777777" w:rsidR="0007001A" w:rsidRDefault="0007001A">
      <w:r>
        <w:t>Closing</w:t>
      </w:r>
    </w:p>
    <w:p w14:paraId="30516F88" w14:textId="77777777" w:rsidR="0007001A" w:rsidRDefault="0007001A"/>
    <w:p w14:paraId="3F307359" w14:textId="77777777" w:rsidR="0007001A" w:rsidRDefault="0007001A">
      <w:r>
        <w:t xml:space="preserve">If you can give a </w:t>
      </w:r>
      <w:proofErr w:type="gramStart"/>
      <w:r>
        <w:t>thumbs</w:t>
      </w:r>
      <w:proofErr w:type="gramEnd"/>
      <w:r>
        <w:t>-up — or push back where you see something — on the three items above, that unblocks the bulk of the v1.2 PDD rewrite. Happy to jump on a call if that's faster than email.</w:t>
      </w:r>
    </w:p>
    <w:p w14:paraId="40C5E6FD" w14:textId="77777777" w:rsidR="0007001A" w:rsidRDefault="0007001A"/>
    <w:p w14:paraId="033B4098" w14:textId="77777777" w:rsidR="0007001A" w:rsidRDefault="0007001A">
      <w:r>
        <w:t>Looking forward to your response.</w:t>
      </w:r>
    </w:p>
    <w:p w14:paraId="1329C20A" w14:textId="77777777" w:rsidR="002B5636" w:rsidRDefault="002B5636"/>
    <w:sectPr w:rsidR="002B56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001A"/>
    <w:rsid w:val="0007001A"/>
    <w:rsid w:val="00265F4C"/>
    <w:rsid w:val="002B5636"/>
    <w:rsid w:val="003F59B4"/>
    <w:rsid w:val="007427AA"/>
    <w:rsid w:val="00941FAF"/>
    <w:rsid w:val="00ED2F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69BDAC1"/>
  <w15:chartTrackingRefBased/>
  <w15:docId w15:val="{1931FC10-CB27-4B4F-B5CC-781C930C33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00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00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00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00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00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00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00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00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00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00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00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00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00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00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00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00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00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001A"/>
    <w:rPr>
      <w:rFonts w:eastAsiaTheme="majorEastAsia" w:cstheme="majorBidi"/>
      <w:color w:val="272727" w:themeColor="text1" w:themeTint="D8"/>
    </w:rPr>
  </w:style>
  <w:style w:type="paragraph" w:styleId="Title">
    <w:name w:val="Title"/>
    <w:basedOn w:val="Normal"/>
    <w:next w:val="Normal"/>
    <w:link w:val="TitleChar"/>
    <w:uiPriority w:val="10"/>
    <w:qFormat/>
    <w:rsid w:val="000700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00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00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00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001A"/>
    <w:pPr>
      <w:spacing w:before="160"/>
      <w:jc w:val="center"/>
    </w:pPr>
    <w:rPr>
      <w:i/>
      <w:iCs/>
      <w:color w:val="404040" w:themeColor="text1" w:themeTint="BF"/>
    </w:rPr>
  </w:style>
  <w:style w:type="character" w:customStyle="1" w:styleId="QuoteChar">
    <w:name w:val="Quote Char"/>
    <w:basedOn w:val="DefaultParagraphFont"/>
    <w:link w:val="Quote"/>
    <w:uiPriority w:val="29"/>
    <w:rsid w:val="0007001A"/>
    <w:rPr>
      <w:i/>
      <w:iCs/>
      <w:color w:val="404040" w:themeColor="text1" w:themeTint="BF"/>
    </w:rPr>
  </w:style>
  <w:style w:type="paragraph" w:styleId="ListParagraph">
    <w:name w:val="List Paragraph"/>
    <w:basedOn w:val="Normal"/>
    <w:uiPriority w:val="34"/>
    <w:qFormat/>
    <w:rsid w:val="0007001A"/>
    <w:pPr>
      <w:ind w:left="720"/>
      <w:contextualSpacing/>
    </w:pPr>
  </w:style>
  <w:style w:type="character" w:styleId="IntenseEmphasis">
    <w:name w:val="Intense Emphasis"/>
    <w:basedOn w:val="DefaultParagraphFont"/>
    <w:uiPriority w:val="21"/>
    <w:qFormat/>
    <w:rsid w:val="0007001A"/>
    <w:rPr>
      <w:i/>
      <w:iCs/>
      <w:color w:val="0F4761" w:themeColor="accent1" w:themeShade="BF"/>
    </w:rPr>
  </w:style>
  <w:style w:type="paragraph" w:styleId="IntenseQuote">
    <w:name w:val="Intense Quote"/>
    <w:basedOn w:val="Normal"/>
    <w:next w:val="Normal"/>
    <w:link w:val="IntenseQuoteChar"/>
    <w:uiPriority w:val="30"/>
    <w:qFormat/>
    <w:rsid w:val="000700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001A"/>
    <w:rPr>
      <w:i/>
      <w:iCs/>
      <w:color w:val="0F4761" w:themeColor="accent1" w:themeShade="BF"/>
    </w:rPr>
  </w:style>
  <w:style w:type="character" w:styleId="IntenseReference">
    <w:name w:val="Intense Reference"/>
    <w:basedOn w:val="DefaultParagraphFont"/>
    <w:uiPriority w:val="32"/>
    <w:qFormat/>
    <w:rsid w:val="0007001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821</Words>
  <Characters>4682</Characters>
  <Application>Microsoft Office Word</Application>
  <DocSecurity>0</DocSecurity>
  <Lines>39</Lines>
  <Paragraphs>10</Paragraphs>
  <ScaleCrop>false</ScaleCrop>
  <Company/>
  <LinksUpToDate>false</LinksUpToDate>
  <CharactersWithSpaces>5493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 Bernard Lavine</dc:creator>
  <cp:keywords/>
  <dc:description/>
  <cp:lastModifiedBy>Max Bernard Lavine</cp:lastModifiedBy>
  <cp:revision>1</cp:revision>
  <dcterms:created xsi:type="dcterms:W3CDTF">2026-05-06T00:15:00Z</dcterms:created>
  <dcterms:modified xsi:type="dcterms:W3CDTF">2026-05-06T00:15:00Z</dcterms:modified>
</cp:coreProperties>
</file>