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1F3864"/>
          <w:sz w:val="32"/>
        </w:rPr>
        <w:t>New-Generation Pyrolyzer — MRV Plan</w:t>
      </w:r>
    </w:p>
    <w:p>
      <w:pPr>
        <w:spacing w:after="20"/>
      </w:pPr>
      <w:r>
        <w:rPr>
          <w:b/>
          <w:color w:val="1F3864"/>
          <w:sz w:val="20"/>
        </w:rPr>
        <w:t xml:space="preserve">To:  </w:t>
      </w:r>
      <w:r>
        <w:rPr>
          <w:color w:val="222222"/>
          <w:sz w:val="20"/>
        </w:rPr>
        <w:t>Isometric</w:t>
      </w:r>
    </w:p>
    <w:p>
      <w:pPr>
        <w:spacing w:after="20"/>
      </w:pPr>
      <w:r>
        <w:rPr>
          <w:b/>
          <w:color w:val="1F3864"/>
          <w:sz w:val="20"/>
        </w:rPr>
        <w:t xml:space="preserve">From:  </w:t>
      </w:r>
      <w:r>
        <w:rPr>
          <w:color w:val="222222"/>
          <w:sz w:val="20"/>
        </w:rPr>
        <w:t>Max Lavine, Carbon Protocol &amp; Verification Lead, Charm Industrial</w:t>
      </w:r>
    </w:p>
    <w:p>
      <w:pPr>
        <w:spacing w:after="20"/>
      </w:pPr>
      <w:r>
        <w:rPr>
          <w:b/>
          <w:color w:val="1F3864"/>
          <w:sz w:val="20"/>
        </w:rPr>
        <w:t xml:space="preserve">Date:  </w:t>
      </w:r>
      <w:r>
        <w:rPr>
          <w:color w:val="222222"/>
          <w:sz w:val="20"/>
        </w:rPr>
        <w:t>July 16, 2026</w:t>
      </w:r>
    </w:p>
    <w:p>
      <w:pPr>
        <w:spacing w:after="160"/>
        <w:pBdr>
          <w:bottom w:val="single" w:sz="6" w:space="1" w:color="BBBBBB"/>
        </w:pBdr>
      </w:pPr>
    </w:p>
    <w:p>
      <w:pPr>
        <w:spacing w:after="160"/>
      </w:pPr>
      <w:r>
        <w:rPr>
          <w:b w:val="0"/>
        </w:rPr>
        <w:t>Charm will commission a new generation of pyrolyzer in the near term. This note sets out how we will handle the change for MRV ahead of reporting any removals from the new units. The existing units remain in our embodied-emissions inventory until fully amortized; the new units enter the inventory as they are commissioned.</w:t>
      </w:r>
    </w:p>
    <w:p>
      <w:pPr>
        <w:spacing w:after="160"/>
      </w:pPr>
      <w:r>
        <w:rPr>
          <w:b w:val="0"/>
        </w:rPr>
        <w:t>Before we report any bio-oil or biochar produced by the new generation, Charm will:</w:t>
      </w:r>
    </w:p>
    <w:p>
      <w:pPr>
        <w:spacing w:after="80"/>
        <w:ind w:left="360" w:hanging="360"/>
      </w:pPr>
      <w:r>
        <w:rPr>
          <w:b/>
        </w:rPr>
        <w:t xml:space="preserve">1. </w:t>
      </w:r>
      <w:r>
        <w:rPr>
          <w:b/>
        </w:rPr>
        <w:t>Provide updated reactor details:</w:t>
      </w:r>
      <w:r/>
    </w:p>
    <w:p>
      <w:pPr>
        <w:spacing w:after="40"/>
        <w:ind w:left="800" w:hanging="320"/>
      </w:pPr>
      <w:r>
        <w:rPr>
          <w:b/>
        </w:rPr>
        <w:t xml:space="preserve">a. </w:t>
      </w:r>
      <w:r>
        <w:t>Design diagrams — dimensions, material inflows and outflows, temperature and pressure sensor positions, and internal and external equipment.</w:t>
      </w:r>
    </w:p>
    <w:p>
      <w:pPr>
        <w:spacing w:after="40"/>
        <w:ind w:left="800" w:hanging="320"/>
      </w:pPr>
      <w:r>
        <w:rPr>
          <w:b/>
        </w:rPr>
        <w:t xml:space="preserve">b. </w:t>
      </w:r>
      <w:r>
        <w:t>Materials for each component, with a thermal- and mechanical-resilience justification.</w:t>
      </w:r>
    </w:p>
    <w:p>
      <w:pPr>
        <w:spacing w:after="40"/>
        <w:ind w:left="800" w:hanging="320"/>
      </w:pPr>
      <w:r>
        <w:rPr>
          <w:b/>
        </w:rPr>
        <w:t xml:space="preserve">c. </w:t>
      </w:r>
      <w:r>
        <w:t>The operating pressure regime. Our current units run sub-atmospheric, which underpins our pyrolysis-gas-release assessment; if the new units do not, we will add continuous gas-loss monitoring. If they operate above approximately 0.5 Bar over ambient, we will also provide the operating pressure range and limits, vessel shape and size, inlet and outlet positioning, and compliance with the applicable pressure-vessel standard.</w:t>
      </w:r>
    </w:p>
    <w:p>
      <w:pPr>
        <w:spacing w:after="40"/>
        <w:ind w:left="800" w:hanging="320"/>
      </w:pPr>
      <w:r>
        <w:rPr>
          <w:b/>
        </w:rPr>
        <w:t xml:space="preserve">d. </w:t>
      </w:r>
      <w:r>
        <w:t>A reactor maintenance plan.</w:t>
      </w:r>
    </w:p>
    <w:p>
      <w:pPr>
        <w:spacing w:after="80"/>
        <w:ind w:left="360" w:hanging="360"/>
      </w:pPr>
      <w:r>
        <w:rPr>
          <w:b/>
        </w:rPr>
        <w:t xml:space="preserve">2. </w:t>
      </w:r>
      <w:r>
        <w:rPr>
          <w:b/>
        </w:rPr>
        <w:t xml:space="preserve">Update the Project Design Document's pyrolyzer discussions </w:t>
      </w:r>
      <w:r>
        <w:t>to reflect the new generation where applicable.</w:t>
      </w:r>
    </w:p>
    <w:p>
      <w:pPr>
        <w:spacing w:after="80"/>
        <w:ind w:left="360" w:hanging="360"/>
      </w:pPr>
      <w:r>
        <w:rPr>
          <w:b/>
        </w:rPr>
        <w:t xml:space="preserve">3. </w:t>
      </w:r>
      <w:r>
        <w:rPr>
          <w:b/>
        </w:rPr>
        <w:t xml:space="preserve">Re-run the biochar permanence and contaminants characterization </w:t>
      </w:r>
      <w:r>
        <w:t>on the new-generation char.</w:t>
      </w:r>
    </w:p>
    <w:p>
      <w:pPr>
        <w:spacing w:after="80"/>
        <w:ind w:left="360" w:hanging="360"/>
      </w:pPr>
      <w:r>
        <w:rPr>
          <w:b/>
        </w:rPr>
        <w:t xml:space="preserve">4. </w:t>
      </w:r>
      <w:r>
        <w:rPr>
          <w:b/>
        </w:rPr>
        <w:t xml:space="preserve">Re-run pyrolysis tail-gas emissions testing </w:t>
      </w:r>
      <w:r>
        <w:t>per feedstock, scaled by biomass throughput, as we do today. This is a single test on the shared machine; the result is allocated across bio-oil and biochar.</w:t>
      </w:r>
    </w:p>
    <w:p>
      <w:pPr>
        <w:spacing w:after="80"/>
        <w:ind w:left="360" w:hanging="360"/>
      </w:pPr>
      <w:r>
        <w:rPr>
          <w:b/>
        </w:rPr>
        <w:t xml:space="preserve">5. </w:t>
      </w:r>
      <w:r>
        <w:rPr>
          <w:b/>
        </w:rPr>
        <w:t xml:space="preserve">Move new-generation biochar to wet storage. </w:t>
      </w:r>
      <w:r>
        <w:t>The new char does not pass the self-heating (Fauske) screening, a change from our current dry-storage handling, so we will store it wet or blended with moist material per the storage-module default, document the stockpiling location and mitigations in the PDD, and update its transport classification.</w:t>
      </w:r>
    </w:p>
    <w:p>
      <w:pPr>
        <w:spacing w:after="80"/>
        <w:ind w:left="360" w:hanging="360"/>
      </w:pPr>
      <w:r>
        <w:rPr>
          <w:b/>
        </w:rPr>
        <w:t xml:space="preserve">6. </w:t>
      </w:r>
      <w:r>
        <w:rPr>
          <w:b/>
        </w:rPr>
        <w:t xml:space="preserve">Continue to track and allocate </w:t>
      </w:r>
      <w:r>
        <w:t>all consumables, energy use, and other emissions sources against outputs, and add all new equipment to the embodied-emissions inventory, as at present.</w:t>
      </w:r>
    </w:p>
    <w:p>
      <w:pPr>
        <w:spacing w:after="200"/>
      </w:pPr>
      <w:r>
        <w:rPr>
          <w:b w:val="0"/>
        </w:rPr>
        <w:t>We would like to align with Isometric on scope and sequence, then execute against this plan ahead of first reporting. Please let us know of any additional requirements.</w:t>
      </w:r>
    </w:p>
    <w:p>
      <w:pPr>
        <w:spacing w:after="40"/>
      </w:pPr>
      <w:r>
        <w:rPr>
          <w:b w:val="0"/>
        </w:rPr>
        <w:t>Best regards,</w:t>
      </w:r>
    </w:p>
    <w:p>
      <w:r>
        <w:rPr>
          <w:b/>
        </w:rPr>
        <w:t>Max Lavine</w:t>
      </w:r>
    </w:p>
    <w:p>
      <w:pPr>
        <w:spacing w:after="0"/>
      </w:pPr>
      <w:r>
        <w:rPr>
          <w:color w:val="666666"/>
          <w:sz w:val="20"/>
        </w:rPr>
        <w:t>Carbon Protocol &amp; Verification Lead, Charm Industrial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