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A4BE" w14:textId="480BDCB2" w:rsidR="0017060B" w:rsidRDefault="00000000">
      <w:pPr>
        <w:spacing w:after="120"/>
      </w:pPr>
      <w:r>
        <w:rPr>
          <w:b/>
          <w:sz w:val="24"/>
        </w:rPr>
        <w:t>Position Statement: Default to BOL as Sole Authoritative Mass for Direct-Trucked Bio-oil</w:t>
      </w:r>
    </w:p>
    <w:p w14:paraId="5266621F" w14:textId="77777777" w:rsidR="0017060B" w:rsidRDefault="00000000">
      <w:pPr>
        <w:spacing w:before="200" w:after="80"/>
      </w:pPr>
      <w:r>
        <w:rPr>
          <w:b/>
          <w:sz w:val="24"/>
        </w:rPr>
        <w:t>Purpose</w:t>
      </w:r>
    </w:p>
    <w:p w14:paraId="3CCF1C19" w14:textId="77777777" w:rsidR="0017060B" w:rsidRDefault="00000000">
      <w:pPr>
        <w:spacing w:after="120"/>
      </w:pPr>
      <w:r>
        <w:t>Charm proposes to update the Bio-oil Mass Quantification Program so that for direct-trucked AECN deliveries the producer-issued BOL is the sole authoritative mass of bio-oil received and transported. Receiving-side empty/full scale weighing on these deliveries would be retired. Rail-offloaded trucks remain dual-weighed under the existing rule for now.</w:t>
      </w:r>
    </w:p>
    <w:p w14:paraId="7075C6F1" w14:textId="77777777" w:rsidR="0017060B" w:rsidRDefault="00000000">
      <w:pPr>
        <w:spacing w:before="200" w:after="80"/>
      </w:pPr>
      <w:r>
        <w:rPr>
          <w:b/>
          <w:sz w:val="24"/>
        </w:rPr>
        <w:t>Background</w:t>
      </w:r>
    </w:p>
    <w:p w14:paraId="715DFFE9" w14:textId="77777777" w:rsidR="0017060B" w:rsidRDefault="00000000">
      <w:pPr>
        <w:spacing w:after="120"/>
      </w:pPr>
      <w:r>
        <w:t>During the March 2026 RP verification, 350Solutions noted that on Batch 2-175 the BOL value (19,690 kg) was used as the authoritative mass while the receiving-side scale ticket showed 19,768 kg — a 78 kg, 0.40% gap. Under the current Mass Quantification Program, the lower of the two governs in such cases. 350Solutions resolved the issue as non-material but flagged the parallel-mass mechanic for principle-level discussion.</w:t>
      </w:r>
    </w:p>
    <w:p w14:paraId="3E2F914B" w14:textId="77777777" w:rsidR="0017060B" w:rsidRDefault="00000000">
      <w:pPr>
        <w:spacing w:after="120"/>
      </w:pPr>
      <w:r>
        <w:t>Charm reviewed the empty/full receiving-scale data across all 46 direct-trucked AECN deliveries in the February and March 2026 reporting periods. The pattern surfaced on 2-175 is the dominant pattern, not the exception.</w:t>
      </w:r>
    </w:p>
    <w:p w14:paraId="41E5C9A1" w14:textId="77777777" w:rsidR="0017060B" w:rsidRDefault="00000000">
      <w:pPr>
        <w:spacing w:before="200" w:after="80"/>
      </w:pPr>
      <w:r>
        <w:rPr>
          <w:b/>
          <w:sz w:val="24"/>
        </w:rPr>
        <w:t>Charm's Position</w:t>
      </w:r>
    </w:p>
    <w:p w14:paraId="27750819" w14:textId="5B5F1CA6" w:rsidR="0017060B" w:rsidRDefault="00000000">
      <w:pPr>
        <w:spacing w:after="120"/>
      </w:pPr>
      <w:r>
        <w:t>Receiving-side empty-weighing was originally adopted to guard against under-delivery</w:t>
      </w:r>
      <w:r w:rsidR="006D4D4F">
        <w:t xml:space="preserve">: Oil that was loaded into the tanker but did not make it out. </w:t>
      </w:r>
      <w:r>
        <w:t>The data shows under-delivery is not the dominant case; cumulative weighing-event uncertainty is. The producer-issued BOL is the document of record for the mass that moved and should be the sole authoritative mass for direct-trucked deliveries. The aggregate change in gross CDR is well below the 1% materiality threshold in GHG Accounting v1.0 §5.0.</w:t>
      </w:r>
    </w:p>
    <w:p w14:paraId="4FC45C0E" w14:textId="77777777" w:rsidR="0017060B" w:rsidRDefault="00000000">
      <w:pPr>
        <w:spacing w:before="200" w:after="80"/>
      </w:pPr>
      <w:r>
        <w:rPr>
          <w:b/>
          <w:sz w:val="24"/>
        </w:rPr>
        <w:t>1. The empty-weigh protocol guards against a loss pattern the data does not show</w:t>
      </w:r>
    </w:p>
    <w:p w14:paraId="3B0C6F09" w14:textId="2B95EBB1" w:rsidR="0017060B" w:rsidRDefault="00000000">
      <w:pPr>
        <w:spacing w:after="120"/>
      </w:pPr>
      <w:r>
        <w:t xml:space="preserve">Charm originally adopted receiving-side empty-weighing to detect bio-oil loaded at origin that did not </w:t>
      </w:r>
      <w:r w:rsidR="002A04C6">
        <w:t>successfully make it out of the truck and into the subsurface</w:t>
      </w:r>
      <w:r>
        <w:t>. The current rule defaults to MIN(BOL, scale-derived) so that mass not arriving would not be credited.</w:t>
      </w:r>
    </w:p>
    <w:p w14:paraId="670C7FF6" w14:textId="77777777" w:rsidR="0017060B" w:rsidRDefault="00000000">
      <w:pPr>
        <w:spacing w:after="120"/>
      </w:pPr>
      <w:r>
        <w:t>The Feb–Mar 2026 dataset (46 direct-trucked AECN batches; 2 excluded — one bio-oil spill, one fuel-tank-weight artifact already accounted for in-sheet — leaving 44 clean observations):</w:t>
      </w:r>
    </w:p>
    <w:p w14:paraId="6595FC72" w14:textId="77777777" w:rsidR="0017060B" w:rsidRDefault="00000000">
      <w:pPr>
        <w:pStyle w:val="ListBullet"/>
        <w:spacing w:after="60"/>
      </w:pPr>
      <w:r>
        <w:t>34 of 44 batches (77%) show scale-derived mass exceeding BOL ("positive loss"). 10 of 44 (23%) show the reverse.</w:t>
      </w:r>
    </w:p>
    <w:p w14:paraId="460299D3" w14:textId="77777777" w:rsidR="0017060B" w:rsidRDefault="00000000">
      <w:pPr>
        <w:pStyle w:val="ListBullet"/>
        <w:spacing w:after="60"/>
      </w:pPr>
      <w:r>
        <w:t>Per-batch BOL-vs-scale |delta|: mean 0.33%, max 2.00%. 84% of batches sit within ±0.5%; 95% within ±1.0%.</w:t>
      </w:r>
    </w:p>
    <w:p w14:paraId="6CD40985" w14:textId="77777777" w:rsidR="0017060B" w:rsidRDefault="00000000">
      <w:pPr>
        <w:pStyle w:val="ListBullet"/>
        <w:spacing w:after="60"/>
      </w:pPr>
      <w:r>
        <w:t>Aggregate scale mass exceeds aggregate BOL mass by 493 kg on 865,325 kg total — a +0.057% net delta in the wrong direction for the protective rationale.</w:t>
      </w:r>
    </w:p>
    <w:p w14:paraId="1D7E134D" w14:textId="63DB51DE" w:rsidR="0017060B" w:rsidRDefault="002A04C6">
      <w:pPr>
        <w:spacing w:after="120"/>
      </w:pPr>
      <w:r>
        <w:t>Of course, a</w:t>
      </w:r>
      <w:r w:rsidR="00000000">
        <w:t xml:space="preserve"> net mass gain through transfer is not physically possible. </w:t>
      </w:r>
      <w:r>
        <w:t xml:space="preserve">What we are seeing is evidence that compounding scale uncertainty can easily exceed any actual physical loss, leading to showing physically impossible “negative loss” is more common than </w:t>
      </w:r>
      <w:proofErr w:type="gramStart"/>
      <w:r>
        <w:t>actually catching</w:t>
      </w:r>
      <w:proofErr w:type="gramEnd"/>
      <w:r>
        <w:t xml:space="preserve"> lost mass that would have been overreported in removals.</w:t>
      </w:r>
    </w:p>
    <w:p w14:paraId="14FAC496" w14:textId="334CB78A" w:rsidR="002A04C6" w:rsidRDefault="002A04C6">
      <w:pPr>
        <w:spacing w:after="120"/>
      </w:pPr>
      <w:r>
        <w:lastRenderedPageBreak/>
        <w:t xml:space="preserve">The context is important here: The practice of empty weighing carried over from our operations in KS where oil was being supersaturated with salt. This left over a significant quantity of salt-laden sludge which was, in fact, lost to the tanker. Because we had no way to programmatically distinguish between salt and oil in the sludge, we deducted the loss from the mass of </w:t>
      </w:r>
      <w:proofErr w:type="gramStart"/>
      <w:r>
        <w:t>bio oil</w:t>
      </w:r>
      <w:proofErr w:type="gramEnd"/>
      <w:r>
        <w:t xml:space="preserve"> injected. At Basco, no salting is required, no sludge is created, and as a result we can now see in the data that tanker loss is negligible. </w:t>
      </w:r>
    </w:p>
    <w:p w14:paraId="08B73EAD" w14:textId="77777777" w:rsidR="0017060B" w:rsidRDefault="00000000">
      <w:pPr>
        <w:spacing w:before="200" w:after="80"/>
      </w:pPr>
      <w:r>
        <w:rPr>
          <w:b/>
          <w:sz w:val="24"/>
        </w:rPr>
        <w:t>2. The BOL is the authoritative document of record</w:t>
      </w:r>
    </w:p>
    <w:p w14:paraId="78EC342F" w14:textId="77777777" w:rsidR="0017060B" w:rsidRDefault="00000000">
      <w:pPr>
        <w:spacing w:after="120"/>
      </w:pPr>
      <w:r>
        <w:t>The BOL is not an internal Charm convention. It is the document of record across multiple independent regimes:</w:t>
      </w:r>
    </w:p>
    <w:p w14:paraId="189AD7E7" w14:textId="77777777" w:rsidR="0017060B" w:rsidRDefault="00000000">
      <w:pPr>
        <w:pStyle w:val="ListBullet"/>
        <w:spacing w:after="60"/>
      </w:pPr>
      <w:r>
        <w:t>Commercial billing between AECN and Charm.</w:t>
      </w:r>
    </w:p>
    <w:p w14:paraId="075970E5" w14:textId="77777777" w:rsidR="0017060B" w:rsidRDefault="00000000">
      <w:pPr>
        <w:pStyle w:val="ListBullet"/>
        <w:spacing w:after="60"/>
      </w:pPr>
      <w:r>
        <w:t>Customs declarations on cross-border bio-oil shipments.</w:t>
      </w:r>
    </w:p>
    <w:p w14:paraId="0D4CA89B" w14:textId="77777777" w:rsidR="0017060B" w:rsidRDefault="00000000">
      <w:pPr>
        <w:pStyle w:val="ListBullet"/>
        <w:spacing w:after="60"/>
      </w:pPr>
      <w:r>
        <w:t>Producer custody-of-record measurement at the point of transfer.</w:t>
      </w:r>
    </w:p>
    <w:p w14:paraId="50ED0A9D" w14:textId="77777777" w:rsidR="0017060B" w:rsidRDefault="00000000">
      <w:pPr>
        <w:spacing w:after="120"/>
      </w:pPr>
      <w:r>
        <w:t>If the BOL is acceptable to commercial counterparties and customs authorities as the authoritative figure for the mass that moved, it is acceptable as the authoritative figure for GHG accounting on the same mass.</w:t>
      </w:r>
    </w:p>
    <w:p w14:paraId="30BD0DBD" w14:textId="77777777" w:rsidR="0017060B" w:rsidRDefault="00000000">
      <w:pPr>
        <w:spacing w:before="200" w:after="80"/>
      </w:pPr>
      <w:r>
        <w:rPr>
          <w:b/>
          <w:sz w:val="24"/>
        </w:rPr>
        <w:t>3. The aggregate effect on gross CDR falls under the GHG Accounting v1.0 §5.0 Materiality threshold</w:t>
      </w:r>
    </w:p>
    <w:p w14:paraId="5FC4EA4B" w14:textId="1F007BBE" w:rsidR="0017060B" w:rsidRDefault="00000000">
      <w:pPr>
        <w:spacing w:after="120"/>
      </w:pPr>
      <w:r>
        <w:t>Section 5.0 of the GHG Accounting module establishes a Materiality threshold of &lt; 1% of net CO₂e removals for SSRs (Sources, Sinks, and Reservoirs)</w:t>
      </w:r>
      <w:r w:rsidR="008554EF">
        <w:t xml:space="preserve"> below which they can be considered “negligible” and excluded from the system boundary on that basis</w:t>
      </w:r>
      <w:r>
        <w:t>. Gross CDR — the project's sink — is quantified directly from bio-oil mass, so a methodology change that affects mass quantification falls within the scope of the threshold on its face.</w:t>
      </w:r>
    </w:p>
    <w:p w14:paraId="205D28E6" w14:textId="32144DA5" w:rsidR="0017060B" w:rsidRDefault="00000000">
      <w:pPr>
        <w:spacing w:after="120"/>
      </w:pPr>
      <w:r>
        <w:t xml:space="preserve">Charm computed gross CDR for each batch </w:t>
      </w:r>
      <w:r w:rsidR="008554EF">
        <w:t xml:space="preserve">in the data </w:t>
      </w:r>
      <w:proofErr w:type="spellStart"/>
      <w:r w:rsidR="008554EF">
        <w:t>set</w:t>
      </w:r>
      <w:r>
        <w:t>under</w:t>
      </w:r>
      <w:proofErr w:type="spellEnd"/>
      <w:r>
        <w:t xml:space="preserve"> each policy in the supporting CSV (bol_vs_scale_materiality_analysis_feb_mar_2026.csv)</w:t>
      </w:r>
      <w:r w:rsidR="008554EF">
        <w:t xml:space="preserve"> as a Materiality Assessment</w:t>
      </w:r>
      <w:r>
        <w:t>. Assumptions: C content = 40.0%; CO₂e factor = 44/12; gross CDR = mass × C × 44/12. At any constant C content, %ΔCDR equals %Δmass; the result is invariant to the C content assumption used.</w:t>
      </w:r>
    </w:p>
    <w:p w14:paraId="30F6B761" w14:textId="77777777" w:rsidR="0017060B" w:rsidRDefault="00000000">
      <w:pPr>
        <w:spacing w:after="120"/>
      </w:pPr>
      <w:r>
        <w:t>Aggregate across the 44 clean batches:</w:t>
      </w:r>
    </w:p>
    <w:p w14:paraId="03E5C415" w14:textId="77777777" w:rsidR="0017060B" w:rsidRDefault="00000000">
      <w:pPr>
        <w:pStyle w:val="ListBullet"/>
        <w:spacing w:after="60"/>
      </w:pPr>
      <w:r>
        <w:t>Total mass — current MIN(BOL, scale) policy: 864,178.59 kg</w:t>
      </w:r>
    </w:p>
    <w:p w14:paraId="20A003D1" w14:textId="77777777" w:rsidR="0017060B" w:rsidRDefault="00000000">
      <w:pPr>
        <w:pStyle w:val="ListBullet"/>
        <w:spacing w:after="60"/>
      </w:pPr>
      <w:r>
        <w:t>Total mass — proposed BOL-only policy: 865,325.05 kg</w:t>
      </w:r>
    </w:p>
    <w:p w14:paraId="35BF2685" w14:textId="77777777" w:rsidR="0017060B" w:rsidRDefault="00000000">
      <w:pPr>
        <w:pStyle w:val="ListBullet"/>
        <w:spacing w:after="60"/>
      </w:pPr>
      <w:r>
        <w:t>Δ mass: +1,146.46 kg (+0.133%)</w:t>
      </w:r>
    </w:p>
    <w:p w14:paraId="01357BA3" w14:textId="77777777" w:rsidR="0017060B" w:rsidRDefault="00000000">
      <w:pPr>
        <w:pStyle w:val="ListBullet"/>
        <w:spacing w:after="60"/>
      </w:pPr>
      <w:r>
        <w:t>Total gross CDR — current policy: 1,267.46 tCO₂e</w:t>
      </w:r>
    </w:p>
    <w:p w14:paraId="7BD4BBFB" w14:textId="77777777" w:rsidR="0017060B" w:rsidRDefault="00000000">
      <w:pPr>
        <w:pStyle w:val="ListBullet"/>
        <w:spacing w:after="60"/>
      </w:pPr>
      <w:r>
        <w:t>Total gross CDR — proposed policy: 1,269.14 tCO₂e</w:t>
      </w:r>
    </w:p>
    <w:p w14:paraId="2B3C8CFD" w14:textId="77777777" w:rsidR="0017060B" w:rsidRDefault="00000000">
      <w:pPr>
        <w:pStyle w:val="ListBullet"/>
        <w:spacing w:after="60"/>
      </w:pPr>
      <w:r>
        <w:t>Δ gross CDR: +1.68 tCO₂e (+0.133%)</w:t>
      </w:r>
    </w:p>
    <w:p w14:paraId="4CF98E11" w14:textId="77777777" w:rsidR="0017060B" w:rsidRDefault="00000000">
      <w:pPr>
        <w:spacing w:after="120"/>
      </w:pPr>
      <w:r>
        <w:t>The aggregate ΔCDR / current gross CDR = +0.133%, well below the 1% threshold. Per-batch effect is concentrated in the 10 negative-loss batches (the 34 positive-loss batches see no change because MIN already equaled BOL); among the affected batches, ΔCDR ranges from +0.01% to +2.04% (mean +0.58%). The materiality test under §5.0 evaluates aggregate impact at the RP/population level, where Charm's proposed change passes by an order of magnitude.</w:t>
      </w:r>
    </w:p>
    <w:p w14:paraId="1CCBF8F2" w14:textId="77777777" w:rsidR="0017060B" w:rsidRDefault="00000000">
      <w:pPr>
        <w:spacing w:before="200" w:after="80"/>
      </w:pPr>
      <w:r>
        <w:rPr>
          <w:b/>
          <w:sz w:val="24"/>
        </w:rPr>
        <w:lastRenderedPageBreak/>
        <w:t>4. Operational consequence: a single source of truth, traceable end to end</w:t>
      </w:r>
    </w:p>
    <w:p w14:paraId="581A1C6D" w14:textId="0AB3FD08" w:rsidR="0017060B" w:rsidRDefault="00000000">
      <w:pPr>
        <w:spacing w:after="120"/>
      </w:pPr>
      <w:r>
        <w:t>Defaulting to BOL retires the parallel-mass mechanic. The same mass figure runs through injected-mass, transport-emissions, embodied, and BCU</w:t>
      </w:r>
      <w:r w:rsidR="008554EF">
        <w:t xml:space="preserve"> calculations</w:t>
      </w:r>
      <w:r>
        <w:t xml:space="preserve">, sourced from a single producer-issued document with independent commercial and customs provenance. Audit trail </w:t>
      </w:r>
      <w:r w:rsidR="008554EF">
        <w:t>resolves</w:t>
      </w:r>
      <w:r>
        <w:t xml:space="preserve"> from two reconciled streams to one.</w:t>
      </w:r>
    </w:p>
    <w:p w14:paraId="7CC16A7E" w14:textId="77777777" w:rsidR="0017060B" w:rsidRDefault="00000000">
      <w:pPr>
        <w:spacing w:before="200" w:after="80"/>
      </w:pPr>
      <w:r>
        <w:rPr>
          <w:b/>
          <w:sz w:val="24"/>
        </w:rPr>
        <w:t>5. Scope and rail carve-out</w:t>
      </w:r>
    </w:p>
    <w:p w14:paraId="231F6F5E" w14:textId="77777777" w:rsidR="0017060B" w:rsidRDefault="00000000">
      <w:pPr>
        <w:spacing w:after="120"/>
      </w:pPr>
      <w:r>
        <w:t>This change applies to direct-trucked AECN deliveries only — origin-to-Basco truck deliveries where the BOL is generated at AECN's origin scale and the chain of custody runs straight to the receiving tank with no intermediate transfer event.</w:t>
      </w:r>
    </w:p>
    <w:p w14:paraId="08002BEA" w14:textId="77890D4C" w:rsidR="0017060B" w:rsidRDefault="00000000">
      <w:pPr>
        <w:spacing w:after="120"/>
      </w:pPr>
      <w:r>
        <w:t>Rail-offloaded trucks remain dual-weighed under the existing Mass Quantification Program for now. The chain of custody on those deliveries includes an intermediate rail-to-truck transfer that the BOL alone does not span; receiving-side weighing remains the practical bridge across that step. Charm will continue to collect rail-leg data and may propose a parallel BOL-only treatment for rail in a subsequent reporting period if the data supports it.</w:t>
      </w:r>
      <w:r w:rsidR="008554EF">
        <w:t xml:space="preserve"> That, however, is outside the scope of this memo.</w:t>
      </w:r>
    </w:p>
    <w:p w14:paraId="09A15D6B" w14:textId="77777777" w:rsidR="0017060B" w:rsidRDefault="00000000">
      <w:pPr>
        <w:spacing w:before="200" w:after="80"/>
      </w:pPr>
      <w:r>
        <w:rPr>
          <w:b/>
          <w:sz w:val="24"/>
        </w:rPr>
        <w:t>Recommended Path Forward</w:t>
      </w:r>
    </w:p>
    <w:p w14:paraId="0E898833" w14:textId="77777777" w:rsidR="0017060B" w:rsidRDefault="00000000">
      <w:pPr>
        <w:spacing w:after="120"/>
      </w:pPr>
      <w:r>
        <w:t>Charm proposes updating the Bio-oil Mass Quantification Program to reflect BOL-as-sole-authoritative for direct-trucked AECN deliveries, effective the next reporting period. The supporting dataset and per-batch / aggregate materiality computation are in the accompanying CSV. Happy to walk through it on a call before this is shared with 350Solutions.</w:t>
      </w:r>
    </w:p>
    <w:sectPr w:rsidR="0017060B"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603508">
    <w:abstractNumId w:val="8"/>
  </w:num>
  <w:num w:numId="2" w16cid:durableId="1265379864">
    <w:abstractNumId w:val="6"/>
  </w:num>
  <w:num w:numId="3" w16cid:durableId="414791237">
    <w:abstractNumId w:val="5"/>
  </w:num>
  <w:num w:numId="4" w16cid:durableId="352222522">
    <w:abstractNumId w:val="4"/>
  </w:num>
  <w:num w:numId="5" w16cid:durableId="302345057">
    <w:abstractNumId w:val="7"/>
  </w:num>
  <w:num w:numId="6" w16cid:durableId="1563448842">
    <w:abstractNumId w:val="3"/>
  </w:num>
  <w:num w:numId="7" w16cid:durableId="54359784">
    <w:abstractNumId w:val="2"/>
  </w:num>
  <w:num w:numId="8" w16cid:durableId="797722338">
    <w:abstractNumId w:val="1"/>
  </w:num>
  <w:num w:numId="9" w16cid:durableId="186463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6A"/>
    <w:rsid w:val="00034616"/>
    <w:rsid w:val="0006063C"/>
    <w:rsid w:val="0015074B"/>
    <w:rsid w:val="0017060B"/>
    <w:rsid w:val="0029639D"/>
    <w:rsid w:val="002A04C6"/>
    <w:rsid w:val="00326F90"/>
    <w:rsid w:val="006D4D4F"/>
    <w:rsid w:val="008554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0F360"/>
  <w14:defaultImageDpi w14:val="300"/>
  <w15:docId w15:val="{657F3095-599B-864C-8319-48E7D75EE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3</cp:revision>
  <dcterms:created xsi:type="dcterms:W3CDTF">2013-12-23T23:15:00Z</dcterms:created>
  <dcterms:modified xsi:type="dcterms:W3CDTF">2026-05-06T20:45:00Z</dcterms:modified>
  <cp:category/>
</cp:coreProperties>
</file>